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sz w:val="24"/>
          <w:highlight w:val="none"/>
        </w:rPr>
      </w:pPr>
      <w:bookmarkStart w:id="77" w:name="_GoBack"/>
      <w:bookmarkEnd w:id="77"/>
    </w:p>
    <w:p>
      <w:pPr>
        <w:jc w:val="center"/>
        <w:rPr>
          <w:b/>
          <w:bCs/>
          <w:color w:val="auto"/>
          <w:highlight w:val="none"/>
        </w:rPr>
      </w:pPr>
    </w:p>
    <w:p>
      <w:pPr>
        <w:jc w:val="center"/>
        <w:rPr>
          <w:b/>
          <w:bCs/>
          <w:color w:val="auto"/>
          <w:sz w:val="32"/>
          <w:highlight w:val="none"/>
        </w:rPr>
      </w:pPr>
    </w:p>
    <w:p>
      <w:pPr>
        <w:rPr>
          <w:b/>
          <w:bCs/>
          <w:color w:val="auto"/>
          <w:spacing w:val="26"/>
          <w:sz w:val="72"/>
          <w:szCs w:val="72"/>
          <w:highlight w:val="none"/>
        </w:rPr>
      </w:pPr>
    </w:p>
    <w:p>
      <w:pPr>
        <w:jc w:val="center"/>
        <w:rPr>
          <w:b/>
          <w:bCs/>
          <w:color w:val="auto"/>
          <w:spacing w:val="26"/>
          <w:sz w:val="84"/>
          <w:szCs w:val="84"/>
          <w:highlight w:val="none"/>
        </w:rPr>
      </w:pPr>
      <w:r>
        <w:rPr>
          <w:b/>
          <w:bCs/>
          <w:color w:val="auto"/>
          <w:spacing w:val="26"/>
          <w:sz w:val="84"/>
          <w:szCs w:val="84"/>
          <w:highlight w:val="none"/>
        </w:rPr>
        <w:t xml:space="preserve"> </w:t>
      </w:r>
      <w:r>
        <w:rPr>
          <w:b/>
          <w:color w:val="auto"/>
          <w:sz w:val="84"/>
          <w:szCs w:val="84"/>
          <w:highlight w:val="none"/>
        </w:rPr>
        <w:t>评 比 文 件</w:t>
      </w:r>
    </w:p>
    <w:p>
      <w:pPr>
        <w:jc w:val="center"/>
        <w:rPr>
          <w:b/>
          <w:bCs/>
          <w:color w:val="auto"/>
          <w:sz w:val="32"/>
          <w:highlight w:val="none"/>
        </w:rPr>
      </w:pPr>
    </w:p>
    <w:p>
      <w:pPr>
        <w:jc w:val="center"/>
        <w:rPr>
          <w:b/>
          <w:bCs/>
          <w:color w:val="auto"/>
          <w:sz w:val="72"/>
          <w:highlight w:val="none"/>
        </w:rPr>
      </w:pPr>
    </w:p>
    <w:p>
      <w:pPr>
        <w:jc w:val="center"/>
        <w:rPr>
          <w:b/>
          <w:bCs/>
          <w:color w:val="auto"/>
          <w:sz w:val="72"/>
          <w:highlight w:val="none"/>
        </w:rPr>
      </w:pPr>
    </w:p>
    <w:p>
      <w:pPr>
        <w:jc w:val="center"/>
        <w:rPr>
          <w:b/>
          <w:bCs/>
          <w:color w:val="auto"/>
          <w:sz w:val="72"/>
          <w:highlight w:val="none"/>
        </w:rPr>
      </w:pPr>
    </w:p>
    <w:p>
      <w:pPr>
        <w:adjustRightInd w:val="0"/>
        <w:snapToGrid w:val="0"/>
        <w:spacing w:line="360" w:lineRule="auto"/>
        <w:ind w:firstLine="2400" w:firstLineChars="800"/>
        <w:rPr>
          <w:color w:val="auto"/>
          <w:sz w:val="30"/>
          <w:szCs w:val="30"/>
          <w:highlight w:val="none"/>
        </w:rPr>
      </w:pPr>
      <w:r>
        <w:rPr>
          <w:color w:val="auto"/>
          <w:sz w:val="30"/>
          <w:szCs w:val="30"/>
          <w:highlight w:val="none"/>
        </w:rPr>
        <w:t>项目编号：SDZB-2</w:t>
      </w:r>
      <w:r>
        <w:rPr>
          <w:rFonts w:hint="eastAsia"/>
          <w:color w:val="auto"/>
          <w:sz w:val="30"/>
          <w:szCs w:val="30"/>
          <w:highlight w:val="none"/>
          <w:lang w:val="en-US" w:eastAsia="zh-CN"/>
        </w:rPr>
        <w:t>3</w:t>
      </w:r>
      <w:r>
        <w:rPr>
          <w:color w:val="auto"/>
          <w:sz w:val="30"/>
          <w:szCs w:val="30"/>
          <w:highlight w:val="none"/>
        </w:rPr>
        <w:t>-</w:t>
      </w:r>
      <w:r>
        <w:rPr>
          <w:rFonts w:hint="eastAsia"/>
          <w:color w:val="auto"/>
          <w:sz w:val="30"/>
          <w:szCs w:val="30"/>
          <w:highlight w:val="none"/>
          <w:lang w:val="en-US" w:eastAsia="zh-CN"/>
        </w:rPr>
        <w:t>085</w:t>
      </w:r>
      <w:r>
        <w:rPr>
          <w:color w:val="auto"/>
          <w:sz w:val="30"/>
          <w:szCs w:val="30"/>
          <w:highlight w:val="none"/>
        </w:rPr>
        <w:t>W</w:t>
      </w:r>
    </w:p>
    <w:p>
      <w:pPr>
        <w:adjustRightInd w:val="0"/>
        <w:snapToGrid w:val="0"/>
        <w:spacing w:line="360" w:lineRule="auto"/>
        <w:ind w:left="3886" w:leftChars="1136" w:hanging="1500" w:hangingChars="500"/>
        <w:rPr>
          <w:rFonts w:hint="eastAsia"/>
          <w:color w:val="auto"/>
          <w:sz w:val="30"/>
          <w:szCs w:val="30"/>
          <w:highlight w:val="none"/>
          <w:lang w:eastAsia="zh-CN"/>
        </w:rPr>
      </w:pPr>
      <w:r>
        <w:rPr>
          <w:color w:val="auto"/>
          <w:sz w:val="30"/>
          <w:szCs w:val="30"/>
          <w:highlight w:val="none"/>
        </w:rPr>
        <w:t>项目名称：</w:t>
      </w:r>
      <w:r>
        <w:rPr>
          <w:rFonts w:hint="eastAsia"/>
          <w:color w:val="auto"/>
          <w:sz w:val="30"/>
          <w:szCs w:val="30"/>
          <w:highlight w:val="none"/>
          <w:lang w:eastAsia="zh-CN"/>
        </w:rPr>
        <w:t>哈尔滨工业大学重庆研究院智能化层析</w:t>
      </w:r>
    </w:p>
    <w:p>
      <w:pPr>
        <w:adjustRightInd w:val="0"/>
        <w:snapToGrid w:val="0"/>
        <w:spacing w:line="360" w:lineRule="auto"/>
        <w:ind w:left="3877" w:leftChars="1846" w:firstLine="0" w:firstLineChars="0"/>
        <w:rPr>
          <w:rFonts w:hint="eastAsia" w:eastAsia="宋体"/>
          <w:color w:val="auto"/>
          <w:spacing w:val="-20"/>
          <w:sz w:val="30"/>
          <w:szCs w:val="30"/>
          <w:highlight w:val="none"/>
          <w:lang w:eastAsia="zh-CN"/>
        </w:rPr>
      </w:pPr>
      <w:r>
        <w:rPr>
          <w:rFonts w:hint="eastAsia"/>
          <w:color w:val="auto"/>
          <w:sz w:val="30"/>
          <w:szCs w:val="30"/>
          <w:highlight w:val="none"/>
          <w:lang w:eastAsia="zh-CN"/>
        </w:rPr>
        <w:t>分离中试系统采购项目</w:t>
      </w:r>
    </w:p>
    <w:p>
      <w:pPr>
        <w:adjustRightInd w:val="0"/>
        <w:snapToGrid w:val="0"/>
        <w:spacing w:line="360" w:lineRule="auto"/>
        <w:ind w:firstLine="790" w:firstLineChars="246"/>
        <w:rPr>
          <w:b/>
          <w:bCs/>
          <w:color w:val="auto"/>
          <w:sz w:val="32"/>
          <w:highlight w:val="none"/>
        </w:rPr>
      </w:pPr>
    </w:p>
    <w:p>
      <w:pPr>
        <w:jc w:val="center"/>
        <w:rPr>
          <w:b/>
          <w:bCs/>
          <w:color w:val="auto"/>
          <w:sz w:val="30"/>
          <w:highlight w:val="none"/>
        </w:rPr>
      </w:pPr>
    </w:p>
    <w:p>
      <w:pPr>
        <w:rPr>
          <w:b/>
          <w:bCs/>
          <w:color w:val="auto"/>
          <w:sz w:val="30"/>
          <w:highlight w:val="none"/>
        </w:rPr>
      </w:pPr>
    </w:p>
    <w:p>
      <w:pPr>
        <w:rPr>
          <w:b/>
          <w:bCs/>
          <w:color w:val="auto"/>
          <w:sz w:val="30"/>
          <w:highlight w:val="none"/>
        </w:rPr>
      </w:pPr>
    </w:p>
    <w:p>
      <w:pPr>
        <w:adjustRightInd w:val="0"/>
        <w:snapToGrid w:val="0"/>
        <w:spacing w:line="360" w:lineRule="auto"/>
        <w:ind w:left="899" w:leftChars="428"/>
        <w:rPr>
          <w:b/>
          <w:bCs/>
          <w:color w:val="auto"/>
          <w:sz w:val="32"/>
          <w:highlight w:val="none"/>
        </w:rPr>
      </w:pPr>
    </w:p>
    <w:p>
      <w:pPr>
        <w:adjustRightInd w:val="0"/>
        <w:snapToGrid w:val="0"/>
        <w:spacing w:line="360" w:lineRule="auto"/>
        <w:ind w:left="899" w:leftChars="428"/>
        <w:rPr>
          <w:b/>
          <w:bCs/>
          <w:color w:val="auto"/>
          <w:sz w:val="32"/>
          <w:highlight w:val="none"/>
        </w:rPr>
      </w:pPr>
    </w:p>
    <w:p>
      <w:pPr>
        <w:spacing w:line="480" w:lineRule="exact"/>
        <w:jc w:val="center"/>
        <w:outlineLvl w:val="0"/>
        <w:rPr>
          <w:color w:val="auto"/>
          <w:sz w:val="30"/>
          <w:szCs w:val="30"/>
          <w:highlight w:val="none"/>
        </w:rPr>
      </w:pPr>
      <w:r>
        <w:rPr>
          <w:color w:val="auto"/>
          <w:sz w:val="30"/>
          <w:szCs w:val="30"/>
          <w:highlight w:val="none"/>
        </w:rPr>
        <w:t xml:space="preserve">  采购人：</w:t>
      </w:r>
      <w:r>
        <w:rPr>
          <w:rFonts w:hint="eastAsia"/>
          <w:bCs/>
          <w:color w:val="auto"/>
          <w:sz w:val="30"/>
          <w:szCs w:val="30"/>
          <w:highlight w:val="none"/>
          <w:lang w:eastAsia="zh-CN"/>
        </w:rPr>
        <w:t>哈尔滨工业大学重庆研究院</w:t>
      </w:r>
      <w:r>
        <w:rPr>
          <w:color w:val="auto"/>
          <w:sz w:val="30"/>
          <w:szCs w:val="30"/>
          <w:highlight w:val="none"/>
        </w:rPr>
        <w:tab/>
      </w:r>
    </w:p>
    <w:p>
      <w:pPr>
        <w:spacing w:line="480" w:lineRule="exact"/>
        <w:jc w:val="center"/>
        <w:outlineLvl w:val="0"/>
        <w:rPr>
          <w:color w:val="auto"/>
          <w:sz w:val="30"/>
          <w:szCs w:val="30"/>
          <w:highlight w:val="none"/>
        </w:rPr>
      </w:pPr>
      <w:r>
        <w:rPr>
          <w:color w:val="auto"/>
          <w:sz w:val="30"/>
          <w:szCs w:val="30"/>
          <w:highlight w:val="none"/>
        </w:rPr>
        <w:t xml:space="preserve">     采购代理机构：重庆赛迪工程咨询有限公司</w:t>
      </w:r>
    </w:p>
    <w:p>
      <w:pPr>
        <w:snapToGrid w:val="0"/>
        <w:spacing w:line="480" w:lineRule="exact"/>
        <w:jc w:val="center"/>
        <w:rPr>
          <w:color w:val="auto"/>
          <w:sz w:val="30"/>
          <w:szCs w:val="30"/>
          <w:highlight w:val="none"/>
        </w:rPr>
      </w:pPr>
    </w:p>
    <w:p>
      <w:pPr>
        <w:snapToGrid w:val="0"/>
        <w:spacing w:line="480" w:lineRule="exact"/>
        <w:jc w:val="center"/>
        <w:rPr>
          <w:color w:val="auto"/>
          <w:sz w:val="30"/>
          <w:szCs w:val="30"/>
          <w:highlight w:val="none"/>
        </w:rPr>
      </w:pPr>
      <w:r>
        <w:rPr>
          <w:color w:val="auto"/>
          <w:sz w:val="30"/>
          <w:szCs w:val="30"/>
          <w:highlight w:val="none"/>
        </w:rPr>
        <w:t>二</w:t>
      </w:r>
      <w:r>
        <w:rPr>
          <w:rFonts w:hint="eastAsia"/>
          <w:color w:val="auto"/>
          <w:sz w:val="30"/>
          <w:szCs w:val="30"/>
          <w:highlight w:val="none"/>
          <w:lang w:val="en-US" w:eastAsia="zh-CN"/>
        </w:rPr>
        <w:t>〇</w:t>
      </w:r>
      <w:r>
        <w:rPr>
          <w:color w:val="auto"/>
          <w:sz w:val="30"/>
          <w:szCs w:val="30"/>
          <w:highlight w:val="none"/>
        </w:rPr>
        <w:t>二</w:t>
      </w:r>
      <w:r>
        <w:rPr>
          <w:rFonts w:hint="eastAsia"/>
          <w:color w:val="auto"/>
          <w:sz w:val="30"/>
          <w:szCs w:val="30"/>
          <w:highlight w:val="none"/>
          <w:lang w:val="en-US" w:eastAsia="zh-CN"/>
        </w:rPr>
        <w:t>三</w:t>
      </w:r>
      <w:r>
        <w:rPr>
          <w:color w:val="auto"/>
          <w:sz w:val="30"/>
          <w:szCs w:val="30"/>
          <w:highlight w:val="none"/>
        </w:rPr>
        <w:t>年</w:t>
      </w:r>
      <w:r>
        <w:rPr>
          <w:rFonts w:hint="eastAsia"/>
          <w:color w:val="auto"/>
          <w:sz w:val="30"/>
          <w:szCs w:val="30"/>
          <w:highlight w:val="none"/>
          <w:lang w:val="en-US" w:eastAsia="zh-CN"/>
        </w:rPr>
        <w:t>四</w:t>
      </w:r>
      <w:r>
        <w:rPr>
          <w:color w:val="auto"/>
          <w:sz w:val="30"/>
          <w:szCs w:val="30"/>
          <w:highlight w:val="none"/>
        </w:rPr>
        <w:t>月</w:t>
      </w:r>
    </w:p>
    <w:p>
      <w:pPr>
        <w:snapToGrid w:val="0"/>
        <w:spacing w:line="480" w:lineRule="exact"/>
        <w:rPr>
          <w:color w:val="auto"/>
          <w:sz w:val="30"/>
          <w:szCs w:val="30"/>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pPr>
        <w:jc w:val="center"/>
        <w:rPr>
          <w:b/>
          <w:color w:val="auto"/>
          <w:sz w:val="44"/>
          <w:szCs w:val="36"/>
          <w:highlight w:val="none"/>
        </w:rPr>
      </w:pPr>
      <w:bookmarkStart w:id="0" w:name="_Toc68963457"/>
      <w:r>
        <w:rPr>
          <w:b/>
          <w:color w:val="auto"/>
          <w:sz w:val="44"/>
          <w:szCs w:val="36"/>
          <w:highlight w:val="none"/>
        </w:rPr>
        <w:t>目 录</w:t>
      </w:r>
      <w:bookmarkEnd w:id="0"/>
    </w:p>
    <w:p>
      <w:pPr>
        <w:jc w:val="center"/>
        <w:rPr>
          <w:b/>
          <w:color w:val="auto"/>
          <w:sz w:val="44"/>
          <w:szCs w:val="36"/>
          <w:highlight w:val="none"/>
        </w:rPr>
      </w:pPr>
    </w:p>
    <w:p>
      <w:pPr>
        <w:pStyle w:val="28"/>
        <w:spacing w:line="360" w:lineRule="auto"/>
        <w:jc w:val="center"/>
        <w:rPr>
          <w:color w:val="auto"/>
          <w:sz w:val="24"/>
          <w:highlight w:val="none"/>
        </w:rPr>
      </w:pPr>
      <w:r>
        <w:rPr>
          <w:color w:val="auto"/>
          <w:sz w:val="24"/>
          <w:highlight w:val="none"/>
        </w:rPr>
        <w:fldChar w:fldCharType="begin"/>
      </w:r>
      <w:r>
        <w:rPr>
          <w:color w:val="auto"/>
          <w:sz w:val="24"/>
          <w:highlight w:val="none"/>
        </w:rPr>
        <w:instrText xml:space="preserve"> TOC \o "1-3" \h \z \u </w:instrText>
      </w:r>
      <w:r>
        <w:rPr>
          <w:color w:val="auto"/>
          <w:sz w:val="24"/>
          <w:highlight w:val="none"/>
        </w:rPr>
        <w:fldChar w:fldCharType="separate"/>
      </w:r>
      <w:r>
        <w:rPr>
          <w:color w:val="auto"/>
          <w:highlight w:val="none"/>
        </w:rPr>
        <w:fldChar w:fldCharType="begin"/>
      </w:r>
      <w:r>
        <w:rPr>
          <w:color w:val="auto"/>
          <w:highlight w:val="none"/>
        </w:rPr>
        <w:instrText xml:space="preserve"> HYPERLINK \l "_Toc10213425" </w:instrText>
      </w:r>
      <w:r>
        <w:rPr>
          <w:color w:val="auto"/>
          <w:highlight w:val="none"/>
        </w:rPr>
        <w:fldChar w:fldCharType="separate"/>
      </w:r>
      <w:r>
        <w:rPr>
          <w:rStyle w:val="46"/>
          <w:color w:val="auto"/>
          <w:sz w:val="24"/>
          <w:highlight w:val="none"/>
        </w:rPr>
        <w:t>第一章 评比公告</w:t>
      </w:r>
      <w:r>
        <w:rPr>
          <w:color w:val="auto"/>
          <w:sz w:val="24"/>
          <w:highlight w:val="none"/>
        </w:rPr>
        <w:tab/>
      </w:r>
      <w:r>
        <w:rPr>
          <w:color w:val="auto"/>
          <w:sz w:val="24"/>
          <w:highlight w:val="none"/>
        </w:rPr>
        <w:fldChar w:fldCharType="begin"/>
      </w:r>
      <w:r>
        <w:rPr>
          <w:color w:val="auto"/>
          <w:sz w:val="24"/>
          <w:highlight w:val="none"/>
        </w:rPr>
        <w:instrText xml:space="preserve"> PAGEREF _Toc10213425 \h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"_Toc10213426" </w:instrText>
      </w:r>
      <w:r>
        <w:rPr>
          <w:color w:val="auto"/>
          <w:highlight w:val="none"/>
        </w:rPr>
        <w:fldChar w:fldCharType="separate"/>
      </w:r>
      <w:r>
        <w:rPr>
          <w:rStyle w:val="46"/>
          <w:color w:val="auto"/>
          <w:sz w:val="24"/>
          <w:highlight w:val="none"/>
        </w:rPr>
        <w:t>第二章 评比供应商须知</w:t>
      </w:r>
      <w:r>
        <w:rPr>
          <w:color w:val="auto"/>
          <w:sz w:val="24"/>
          <w:highlight w:val="none"/>
        </w:rPr>
        <w:tab/>
      </w:r>
      <w:r>
        <w:rPr>
          <w:color w:val="auto"/>
          <w:sz w:val="24"/>
          <w:highlight w:val="none"/>
        </w:rPr>
        <w:fldChar w:fldCharType="begin"/>
      </w:r>
      <w:r>
        <w:rPr>
          <w:color w:val="auto"/>
          <w:sz w:val="24"/>
          <w:highlight w:val="none"/>
        </w:rPr>
        <w:instrText xml:space="preserve"> PAGEREF _Toc10213426 \h </w:instrText>
      </w:r>
      <w:r>
        <w:rPr>
          <w:color w:val="auto"/>
          <w:sz w:val="24"/>
          <w:highlight w:val="none"/>
        </w:rPr>
        <w:fldChar w:fldCharType="separate"/>
      </w:r>
      <w:r>
        <w:rPr>
          <w:color w:val="auto"/>
          <w:sz w:val="24"/>
          <w:highlight w:val="none"/>
        </w:rPr>
        <w:t>5</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"_Toc10213433" </w:instrText>
      </w:r>
      <w:r>
        <w:rPr>
          <w:color w:val="auto"/>
          <w:highlight w:val="none"/>
        </w:rPr>
        <w:fldChar w:fldCharType="separate"/>
      </w:r>
      <w:r>
        <w:rPr>
          <w:rStyle w:val="46"/>
          <w:color w:val="auto"/>
          <w:sz w:val="24"/>
          <w:highlight w:val="none"/>
        </w:rPr>
        <w:t>第三章 合同条件、格式</w:t>
      </w:r>
      <w:r>
        <w:rPr>
          <w:color w:val="auto"/>
          <w:sz w:val="24"/>
          <w:highlight w:val="none"/>
        </w:rPr>
        <w:tab/>
      </w:r>
      <w:r>
        <w:rPr>
          <w:color w:val="auto"/>
          <w:sz w:val="24"/>
          <w:highlight w:val="none"/>
        </w:rPr>
        <w:fldChar w:fldCharType="begin"/>
      </w:r>
      <w:r>
        <w:rPr>
          <w:color w:val="auto"/>
          <w:sz w:val="24"/>
          <w:highlight w:val="none"/>
        </w:rPr>
        <w:instrText xml:space="preserve"> PAGEREF _Toc10213433 \h </w:instrText>
      </w:r>
      <w:r>
        <w:rPr>
          <w:color w:val="auto"/>
          <w:sz w:val="24"/>
          <w:highlight w:val="none"/>
        </w:rPr>
        <w:fldChar w:fldCharType="separate"/>
      </w:r>
      <w:r>
        <w:rPr>
          <w:color w:val="auto"/>
          <w:sz w:val="24"/>
          <w:highlight w:val="none"/>
        </w:rPr>
        <w:t>16</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"_Toc10213449" </w:instrText>
      </w:r>
      <w:r>
        <w:rPr>
          <w:color w:val="auto"/>
          <w:highlight w:val="none"/>
        </w:rPr>
        <w:fldChar w:fldCharType="separate"/>
      </w:r>
      <w:r>
        <w:rPr>
          <w:rStyle w:val="46"/>
          <w:color w:val="auto"/>
          <w:sz w:val="24"/>
          <w:highlight w:val="none"/>
        </w:rPr>
        <w:t>第四章 技术服务需求及说明</w:t>
      </w:r>
      <w:r>
        <w:rPr>
          <w:color w:val="auto"/>
          <w:sz w:val="24"/>
          <w:highlight w:val="none"/>
        </w:rPr>
        <w:tab/>
      </w:r>
      <w:r>
        <w:rPr>
          <w:color w:val="auto"/>
          <w:sz w:val="24"/>
          <w:highlight w:val="none"/>
        </w:rPr>
        <w:fldChar w:fldCharType="begin"/>
      </w:r>
      <w:r>
        <w:rPr>
          <w:color w:val="auto"/>
          <w:sz w:val="24"/>
          <w:highlight w:val="none"/>
        </w:rPr>
        <w:instrText xml:space="preserve"> PAGEREF _Toc10213449 \h </w:instrText>
      </w:r>
      <w:r>
        <w:rPr>
          <w:color w:val="auto"/>
          <w:sz w:val="24"/>
          <w:highlight w:val="none"/>
        </w:rPr>
        <w:fldChar w:fldCharType="separate"/>
      </w:r>
      <w:r>
        <w:rPr>
          <w:color w:val="auto"/>
          <w:sz w:val="24"/>
          <w:highlight w:val="none"/>
        </w:rPr>
        <w:t>24</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"_Toc10213450" </w:instrText>
      </w:r>
      <w:r>
        <w:rPr>
          <w:color w:val="auto"/>
          <w:highlight w:val="none"/>
        </w:rPr>
        <w:fldChar w:fldCharType="separate"/>
      </w:r>
      <w:r>
        <w:rPr>
          <w:rStyle w:val="46"/>
          <w:color w:val="auto"/>
          <w:sz w:val="24"/>
          <w:highlight w:val="none"/>
        </w:rPr>
        <w:t>第五章 评比响应文件格式</w:t>
      </w:r>
      <w:r>
        <w:rPr>
          <w:color w:val="auto"/>
          <w:sz w:val="24"/>
          <w:highlight w:val="none"/>
        </w:rPr>
        <w:tab/>
      </w:r>
      <w:r>
        <w:rPr>
          <w:color w:val="auto"/>
          <w:sz w:val="24"/>
          <w:highlight w:val="none"/>
        </w:rPr>
        <w:fldChar w:fldCharType="begin"/>
      </w:r>
      <w:r>
        <w:rPr>
          <w:color w:val="auto"/>
          <w:sz w:val="24"/>
          <w:highlight w:val="none"/>
        </w:rPr>
        <w:instrText xml:space="preserve"> PAGEREF _Toc10213450 \h </w:instrText>
      </w:r>
      <w:r>
        <w:rPr>
          <w:color w:val="auto"/>
          <w:sz w:val="24"/>
          <w:highlight w:val="none"/>
        </w:rPr>
        <w:fldChar w:fldCharType="separate"/>
      </w:r>
      <w:r>
        <w:rPr>
          <w:color w:val="auto"/>
          <w:sz w:val="24"/>
          <w:highlight w:val="none"/>
        </w:rPr>
        <w:t>26</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"_Toc10213462" </w:instrText>
      </w:r>
      <w:r>
        <w:rPr>
          <w:color w:val="auto"/>
          <w:highlight w:val="none"/>
        </w:rPr>
        <w:fldChar w:fldCharType="separate"/>
      </w:r>
      <w:r>
        <w:rPr>
          <w:rStyle w:val="46"/>
          <w:color w:val="auto"/>
          <w:sz w:val="24"/>
          <w:highlight w:val="none"/>
        </w:rPr>
        <w:t>第六章 评审办法</w:t>
      </w:r>
      <w:r>
        <w:rPr>
          <w:color w:val="auto"/>
          <w:sz w:val="24"/>
          <w:highlight w:val="none"/>
        </w:rPr>
        <w:tab/>
      </w:r>
      <w:r>
        <w:rPr>
          <w:color w:val="auto"/>
          <w:sz w:val="24"/>
          <w:highlight w:val="none"/>
        </w:rPr>
        <w:fldChar w:fldCharType="begin"/>
      </w:r>
      <w:r>
        <w:rPr>
          <w:color w:val="auto"/>
          <w:sz w:val="24"/>
          <w:highlight w:val="none"/>
        </w:rPr>
        <w:instrText xml:space="preserve"> PAGEREF _Toc10213462 \h </w:instrText>
      </w:r>
      <w:r>
        <w:rPr>
          <w:color w:val="auto"/>
          <w:sz w:val="24"/>
          <w:highlight w:val="none"/>
        </w:rPr>
        <w:fldChar w:fldCharType="separate"/>
      </w:r>
      <w:r>
        <w:rPr>
          <w:color w:val="auto"/>
          <w:sz w:val="24"/>
          <w:highlight w:val="none"/>
        </w:rPr>
        <w:t>43</w:t>
      </w:r>
      <w:r>
        <w:rPr>
          <w:color w:val="auto"/>
          <w:sz w:val="24"/>
          <w:highlight w:val="none"/>
        </w:rPr>
        <w:fldChar w:fldCharType="end"/>
      </w:r>
      <w:r>
        <w:rPr>
          <w:color w:val="auto"/>
          <w:sz w:val="24"/>
          <w:highlight w:val="none"/>
        </w:rPr>
        <w:fldChar w:fldCharType="end"/>
      </w:r>
    </w:p>
    <w:p>
      <w:pPr>
        <w:spacing w:line="360" w:lineRule="auto"/>
        <w:jc w:val="center"/>
        <w:rPr>
          <w:color w:val="auto"/>
          <w:sz w:val="24"/>
          <w:highlight w:val="none"/>
        </w:rPr>
      </w:pPr>
      <w:r>
        <w:rPr>
          <w:color w:val="auto"/>
          <w:sz w:val="24"/>
          <w:highlight w:val="none"/>
        </w:rPr>
        <w:fldChar w:fldCharType="end"/>
      </w:r>
    </w:p>
    <w:p>
      <w:pPr>
        <w:rPr>
          <w:color w:val="auto"/>
          <w:sz w:val="24"/>
          <w:highlight w:val="none"/>
        </w:rPr>
        <w:sectPr>
          <w:headerReference r:id="rId7" w:type="default"/>
          <w:footerReference r:id="rId8" w:type="default"/>
          <w:pgSz w:w="11906" w:h="16838"/>
          <w:pgMar w:top="851" w:right="1134" w:bottom="851" w:left="1247" w:header="851" w:footer="992" w:gutter="0"/>
          <w:pgNumType w:start="1"/>
          <w:cols w:space="720" w:num="1"/>
          <w:docGrid w:type="lines" w:linePitch="312" w:charSpace="0"/>
        </w:sectPr>
      </w:pPr>
    </w:p>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bookmarkStart w:id="1" w:name="_Toc10213425"/>
      <w:r>
        <w:rPr>
          <w:rFonts w:eastAsia="宋体"/>
          <w:bCs w:val="0"/>
          <w:color w:val="auto"/>
          <w:kern w:val="2"/>
          <w:szCs w:val="36"/>
          <w:highlight w:val="none"/>
        </w:rPr>
        <w:t>第一章  评比公告</w:t>
      </w:r>
      <w:bookmarkEnd w:id="1"/>
    </w:p>
    <w:p>
      <w:pPr>
        <w:adjustRightInd w:val="0"/>
        <w:snapToGrid w:val="0"/>
        <w:spacing w:line="480" w:lineRule="exact"/>
        <w:ind w:firstLine="420" w:firstLineChars="200"/>
        <w:rPr>
          <w:color w:val="auto"/>
          <w:szCs w:val="21"/>
          <w:highlight w:val="none"/>
        </w:rPr>
      </w:pPr>
      <w:r>
        <w:rPr>
          <w:color w:val="auto"/>
          <w:szCs w:val="21"/>
          <w:highlight w:val="none"/>
        </w:rPr>
        <w:t>重庆赛迪工程咨询有限公司（以下简称：采购代理机构）受</w:t>
      </w:r>
      <w:r>
        <w:rPr>
          <w:rFonts w:hint="eastAsia"/>
          <w:color w:val="auto"/>
          <w:szCs w:val="21"/>
          <w:highlight w:val="none"/>
          <w:lang w:eastAsia="zh-CN"/>
        </w:rPr>
        <w:t>哈尔滨工业大学重庆研究院</w:t>
      </w:r>
      <w:r>
        <w:rPr>
          <w:color w:val="auto"/>
          <w:szCs w:val="21"/>
          <w:highlight w:val="none"/>
        </w:rPr>
        <w:t>（以下简称：采购人）的委托，对“</w:t>
      </w:r>
      <w:r>
        <w:rPr>
          <w:rFonts w:hint="eastAsia"/>
          <w:color w:val="auto"/>
          <w:szCs w:val="21"/>
          <w:highlight w:val="none"/>
          <w:lang w:eastAsia="zh-CN"/>
        </w:rPr>
        <w:t>哈尔滨工业大学重庆研究院智能化层析分离中试系统采购项目</w:t>
      </w:r>
      <w:r>
        <w:rPr>
          <w:color w:val="auto"/>
          <w:szCs w:val="21"/>
          <w:highlight w:val="none"/>
        </w:rPr>
        <w:t>（项目编号：SDZB-2</w:t>
      </w:r>
      <w:r>
        <w:rPr>
          <w:rFonts w:hint="eastAsia"/>
          <w:color w:val="auto"/>
          <w:szCs w:val="21"/>
          <w:highlight w:val="none"/>
          <w:lang w:val="en-US" w:eastAsia="zh-CN"/>
        </w:rPr>
        <w:t>3</w:t>
      </w:r>
      <w:r>
        <w:rPr>
          <w:color w:val="auto"/>
          <w:szCs w:val="21"/>
          <w:highlight w:val="none"/>
        </w:rPr>
        <w:t>-</w:t>
      </w:r>
      <w:r>
        <w:rPr>
          <w:rFonts w:hint="eastAsia"/>
          <w:color w:val="auto"/>
          <w:szCs w:val="21"/>
          <w:highlight w:val="none"/>
          <w:lang w:val="en-US" w:eastAsia="zh-CN"/>
        </w:rPr>
        <w:t>085</w:t>
      </w:r>
      <w:r>
        <w:rPr>
          <w:color w:val="auto"/>
          <w:szCs w:val="21"/>
          <w:highlight w:val="none"/>
        </w:rPr>
        <w:t>W）”组织评比采购，欢迎有资格的供应商参加本项目的评比。</w:t>
      </w:r>
    </w:p>
    <w:p>
      <w:pPr>
        <w:snapToGrid w:val="0"/>
        <w:spacing w:line="440" w:lineRule="exact"/>
        <w:ind w:firstLine="422" w:firstLineChars="200"/>
        <w:rPr>
          <w:rFonts w:hint="eastAsia" w:eastAsia="宋体"/>
          <w:color w:val="auto"/>
          <w:szCs w:val="21"/>
          <w:highlight w:val="none"/>
          <w:lang w:eastAsia="zh-CN"/>
        </w:rPr>
      </w:pPr>
      <w:r>
        <w:rPr>
          <w:b/>
          <w:color w:val="auto"/>
          <w:szCs w:val="21"/>
          <w:highlight w:val="none"/>
        </w:rPr>
        <w:t>1．项目名称：</w:t>
      </w:r>
      <w:r>
        <w:rPr>
          <w:rFonts w:hint="eastAsia"/>
          <w:color w:val="auto"/>
          <w:szCs w:val="21"/>
          <w:highlight w:val="none"/>
          <w:lang w:eastAsia="zh-CN"/>
        </w:rPr>
        <w:t>哈尔滨工业大学重庆研究院智能化层析分离中试系统采购项目</w:t>
      </w:r>
    </w:p>
    <w:p>
      <w:pPr>
        <w:snapToGrid w:val="0"/>
        <w:spacing w:line="440" w:lineRule="exact"/>
        <w:ind w:firstLine="422" w:firstLineChars="200"/>
        <w:rPr>
          <w:b/>
          <w:color w:val="auto"/>
          <w:szCs w:val="21"/>
          <w:highlight w:val="none"/>
        </w:rPr>
      </w:pPr>
      <w:r>
        <w:rPr>
          <w:b/>
          <w:color w:val="auto"/>
          <w:szCs w:val="21"/>
          <w:highlight w:val="none"/>
        </w:rPr>
        <w:t>2．项目概况：</w:t>
      </w:r>
    </w:p>
    <w:tbl>
      <w:tblPr>
        <w:tblStyle w:val="39"/>
        <w:tblW w:w="4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77"/>
        <w:gridCol w:w="609"/>
        <w:gridCol w:w="1158"/>
        <w:gridCol w:w="1005"/>
        <w:gridCol w:w="3232"/>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jc w:val="center"/>
        </w:trPr>
        <w:tc>
          <w:tcPr>
            <w:tcW w:w="329"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序号</w:t>
            </w:r>
          </w:p>
        </w:tc>
        <w:tc>
          <w:tcPr>
            <w:tcW w:w="691"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采购内容</w:t>
            </w:r>
          </w:p>
        </w:tc>
        <w:tc>
          <w:tcPr>
            <w:tcW w:w="330"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数量</w:t>
            </w:r>
          </w:p>
        </w:tc>
        <w:tc>
          <w:tcPr>
            <w:tcW w:w="627"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采购预算</w:t>
            </w:r>
          </w:p>
        </w:tc>
        <w:tc>
          <w:tcPr>
            <w:tcW w:w="544" w:type="pct"/>
            <w:tcBorders>
              <w:top w:val="single" w:color="auto" w:sz="4" w:space="0"/>
              <w:left w:val="single" w:color="auto" w:sz="4" w:space="0"/>
              <w:right w:val="single" w:color="auto" w:sz="4" w:space="0"/>
            </w:tcBorders>
            <w:vAlign w:val="center"/>
          </w:tcPr>
          <w:p>
            <w:pPr>
              <w:pStyle w:val="22"/>
              <w:adjustRightInd w:val="0"/>
              <w:snapToGrid w:val="0"/>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中标人</w:t>
            </w:r>
          </w:p>
          <w:p>
            <w:pPr>
              <w:pStyle w:val="22"/>
              <w:adjustRightInd w:val="0"/>
              <w:snapToGrid w:val="0"/>
              <w:jc w:val="center"/>
              <w:rPr>
                <w:rFonts w:ascii="Times New Roman" w:hAnsi="Times New Roman"/>
                <w:b/>
                <w:color w:val="auto"/>
                <w:sz w:val="21"/>
                <w:szCs w:val="21"/>
                <w:highlight w:val="none"/>
              </w:rPr>
            </w:pPr>
            <w:r>
              <w:rPr>
                <w:rFonts w:ascii="Times New Roman" w:hAnsi="Times New Roman"/>
                <w:b/>
                <w:bCs/>
                <w:color w:val="auto"/>
                <w:spacing w:val="-59"/>
                <w:sz w:val="21"/>
                <w:szCs w:val="21"/>
                <w:highlight w:val="none"/>
              </w:rPr>
              <w:t xml:space="preserve"> </w:t>
            </w:r>
            <w:r>
              <w:rPr>
                <w:rFonts w:ascii="Times New Roman" w:hAnsi="Times New Roman"/>
                <w:b/>
                <w:bCs/>
                <w:color w:val="auto"/>
                <w:sz w:val="21"/>
                <w:szCs w:val="21"/>
                <w:highlight w:val="none"/>
              </w:rPr>
              <w:t>数量</w:t>
            </w:r>
          </w:p>
        </w:tc>
        <w:tc>
          <w:tcPr>
            <w:tcW w:w="1750" w:type="pct"/>
            <w:tcBorders>
              <w:top w:val="single" w:color="auto" w:sz="4" w:space="0"/>
              <w:left w:val="single" w:color="auto" w:sz="4" w:space="0"/>
              <w:right w:val="single" w:color="auto" w:sz="4" w:space="0"/>
            </w:tcBorders>
            <w:vAlign w:val="center"/>
          </w:tcPr>
          <w:p>
            <w:pPr>
              <w:pStyle w:val="22"/>
              <w:adjustRightInd w:val="0"/>
              <w:snapToGrid w:val="0"/>
              <w:jc w:val="center"/>
              <w:rPr>
                <w:rFonts w:hint="eastAsia" w:ascii="Times New Roman" w:hAnsi="Times New Roman" w:eastAsia="宋体"/>
                <w:b/>
                <w:color w:val="auto"/>
                <w:sz w:val="21"/>
                <w:szCs w:val="21"/>
                <w:highlight w:val="none"/>
                <w:lang w:eastAsia="zh-CN"/>
              </w:rPr>
            </w:pPr>
            <w:r>
              <w:rPr>
                <w:rFonts w:hint="eastAsia" w:ascii="Times New Roman" w:hAnsi="Times New Roman"/>
                <w:b/>
                <w:color w:val="auto"/>
                <w:sz w:val="21"/>
                <w:szCs w:val="21"/>
                <w:highlight w:val="none"/>
                <w:lang w:val="en-US" w:eastAsia="zh-CN"/>
              </w:rPr>
              <w:t>供货期</w:t>
            </w:r>
          </w:p>
        </w:tc>
        <w:tc>
          <w:tcPr>
            <w:tcW w:w="729" w:type="pct"/>
            <w:tcBorders>
              <w:top w:val="single" w:color="auto" w:sz="4" w:space="0"/>
              <w:left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exact"/>
          <w:jc w:val="center"/>
        </w:trPr>
        <w:tc>
          <w:tcPr>
            <w:tcW w:w="32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auto"/>
                <w:szCs w:val="21"/>
                <w:highlight w:val="none"/>
              </w:rPr>
            </w:pPr>
            <w:r>
              <w:rPr>
                <w:color w:val="auto"/>
                <w:szCs w:val="21"/>
                <w:highlight w:val="none"/>
              </w:rPr>
              <w:t>1</w:t>
            </w:r>
          </w:p>
        </w:tc>
        <w:tc>
          <w:tcPr>
            <w:tcW w:w="691" w:type="pct"/>
            <w:tcBorders>
              <w:top w:val="single" w:color="auto" w:sz="4" w:space="0"/>
              <w:left w:val="single" w:color="auto" w:sz="4" w:space="0"/>
              <w:bottom w:val="single" w:color="auto" w:sz="4" w:space="0"/>
              <w:right w:val="single" w:color="auto" w:sz="4" w:space="0"/>
            </w:tcBorders>
            <w:vAlign w:val="center"/>
          </w:tcPr>
          <w:p>
            <w:pPr>
              <w:spacing w:line="440" w:lineRule="exact"/>
              <w:rPr>
                <w:color w:val="auto"/>
                <w:szCs w:val="21"/>
                <w:highlight w:val="none"/>
              </w:rPr>
            </w:pPr>
            <w:r>
              <w:rPr>
                <w:rFonts w:hint="eastAsia" w:eastAsia="宋体"/>
                <w:bCs/>
                <w:color w:val="auto"/>
                <w:szCs w:val="21"/>
                <w:highlight w:val="none"/>
              </w:rPr>
              <w:t>智能化层析分离</w:t>
            </w:r>
            <w:r>
              <w:rPr>
                <w:rFonts w:hint="eastAsia"/>
                <w:bCs/>
                <w:color w:val="auto"/>
                <w:szCs w:val="21"/>
                <w:highlight w:val="none"/>
                <w:lang w:val="en-US" w:eastAsia="zh-CN"/>
              </w:rPr>
              <w:t>中试</w:t>
            </w:r>
            <w:r>
              <w:rPr>
                <w:rFonts w:hint="eastAsia" w:eastAsia="宋体"/>
                <w:bCs/>
                <w:color w:val="auto"/>
                <w:szCs w:val="21"/>
                <w:highlight w:val="none"/>
              </w:rPr>
              <w:t>系统</w:t>
            </w:r>
          </w:p>
        </w:tc>
        <w:tc>
          <w:tcPr>
            <w:tcW w:w="33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bCs/>
                <w:color w:val="auto"/>
                <w:highlight w:val="none"/>
              </w:rPr>
            </w:pPr>
            <w:r>
              <w:rPr>
                <w:rFonts w:hint="eastAsia"/>
                <w:bCs/>
                <w:color w:val="auto"/>
                <w:szCs w:val="21"/>
                <w:highlight w:val="none"/>
                <w:lang w:val="en-US" w:eastAsia="zh-CN"/>
              </w:rPr>
              <w:t>1</w:t>
            </w:r>
            <w:r>
              <w:rPr>
                <w:bCs/>
                <w:color w:val="auto"/>
                <w:szCs w:val="21"/>
                <w:highlight w:val="none"/>
              </w:rPr>
              <w:t>套</w:t>
            </w:r>
          </w:p>
        </w:tc>
        <w:tc>
          <w:tcPr>
            <w:tcW w:w="627"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60" w:lineRule="exact"/>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60</w:t>
            </w:r>
            <w:r>
              <w:rPr>
                <w:rFonts w:ascii="Times New Roman" w:hAnsi="Times New Roman"/>
                <w:color w:val="auto"/>
                <w:sz w:val="21"/>
                <w:szCs w:val="21"/>
                <w:highlight w:val="none"/>
              </w:rPr>
              <w:t>万元</w:t>
            </w:r>
          </w:p>
        </w:tc>
        <w:tc>
          <w:tcPr>
            <w:tcW w:w="544" w:type="pct"/>
            <w:tcBorders>
              <w:left w:val="single" w:color="auto" w:sz="4" w:space="0"/>
              <w:right w:val="single" w:color="auto" w:sz="4" w:space="0"/>
            </w:tcBorders>
            <w:vAlign w:val="center"/>
          </w:tcPr>
          <w:p>
            <w:pPr>
              <w:pStyle w:val="22"/>
              <w:adjustRightInd w:val="0"/>
              <w:snapToGrid w:val="0"/>
              <w:spacing w:line="360" w:lineRule="exact"/>
              <w:jc w:val="center"/>
              <w:rPr>
                <w:rFonts w:ascii="Times New Roman" w:hAnsi="Times New Roman"/>
                <w:color w:val="auto"/>
                <w:sz w:val="21"/>
                <w:szCs w:val="21"/>
                <w:highlight w:val="none"/>
              </w:rPr>
            </w:pPr>
            <w:r>
              <w:rPr>
                <w:rFonts w:ascii="Times New Roman" w:hAnsi="Times New Roman"/>
                <w:color w:val="auto"/>
                <w:sz w:val="21"/>
                <w:szCs w:val="21"/>
                <w:highlight w:val="none"/>
              </w:rPr>
              <w:t>1名</w:t>
            </w:r>
          </w:p>
        </w:tc>
        <w:tc>
          <w:tcPr>
            <w:tcW w:w="1750" w:type="pct"/>
            <w:tcBorders>
              <w:left w:val="single" w:color="auto" w:sz="4" w:space="0"/>
              <w:right w:val="single" w:color="auto" w:sz="4" w:space="0"/>
            </w:tcBorders>
            <w:vAlign w:val="center"/>
          </w:tcPr>
          <w:p>
            <w:pPr>
              <w:pStyle w:val="22"/>
              <w:adjustRightInd w:val="0"/>
              <w:snapToGrid w:val="0"/>
              <w:spacing w:line="360" w:lineRule="exact"/>
              <w:jc w:val="center"/>
              <w:rPr>
                <w:rFonts w:ascii="Times New Roman" w:hAnsi="Times New Roman" w:eastAsia="宋体"/>
                <w:color w:val="auto"/>
                <w:sz w:val="21"/>
                <w:szCs w:val="21"/>
                <w:highlight w:val="none"/>
              </w:rPr>
            </w:pPr>
            <w:r>
              <w:rPr>
                <w:rFonts w:hint="eastAsia" w:ascii="Times New Roman" w:hAnsi="Times New Roman" w:eastAsia="宋体" w:cs="Times New Roman"/>
                <w:bCs/>
                <w:color w:val="auto"/>
                <w:sz w:val="21"/>
                <w:szCs w:val="21"/>
                <w:highlight w:val="none"/>
              </w:rPr>
              <w:t>收到预付款后</w:t>
            </w:r>
            <w:r>
              <w:rPr>
                <w:rFonts w:hint="eastAsia" w:ascii="Times New Roman" w:hAnsi="Times New Roman" w:eastAsia="宋体" w:cs="Times New Roman"/>
                <w:bCs/>
                <w:color w:val="auto"/>
                <w:sz w:val="21"/>
                <w:szCs w:val="21"/>
                <w:highlight w:val="none"/>
                <w:lang w:eastAsia="zh-CN"/>
              </w:rPr>
              <w:t>7</w:t>
            </w:r>
            <w:r>
              <w:rPr>
                <w:rFonts w:hint="eastAsia" w:ascii="Times New Roman" w:hAnsi="Times New Roman" w:cs="Times New Roman"/>
                <w:bCs/>
                <w:color w:val="auto"/>
                <w:sz w:val="21"/>
                <w:szCs w:val="21"/>
                <w:highlight w:val="none"/>
                <w:lang w:val="en-US" w:eastAsia="zh-CN"/>
              </w:rPr>
              <w:t>5</w:t>
            </w:r>
            <w:r>
              <w:rPr>
                <w:rFonts w:hint="eastAsia" w:ascii="Times New Roman" w:hAnsi="Times New Roman" w:eastAsia="宋体" w:cs="Times New Roman"/>
                <w:bCs/>
                <w:color w:val="auto"/>
                <w:sz w:val="21"/>
                <w:szCs w:val="21"/>
                <w:highlight w:val="none"/>
                <w:lang w:eastAsia="zh-CN"/>
              </w:rPr>
              <w:t>个日历日内完成设备加工</w:t>
            </w:r>
            <w:r>
              <w:rPr>
                <w:rFonts w:hint="eastAsia" w:ascii="Times New Roman" w:hAnsi="Times New Roman" w:cs="Times New Roman"/>
                <w:bCs/>
                <w:color w:val="auto"/>
                <w:sz w:val="21"/>
                <w:szCs w:val="21"/>
                <w:highlight w:val="none"/>
                <w:lang w:val="en-US" w:eastAsia="zh-CN"/>
              </w:rPr>
              <w:t>与出厂前调试</w:t>
            </w:r>
            <w:r>
              <w:rPr>
                <w:rFonts w:hint="eastAsia" w:ascii="Times New Roman" w:hAnsi="Times New Roman" w:eastAsia="宋体" w:cs="Times New Roman"/>
                <w:bCs/>
                <w:color w:val="auto"/>
                <w:sz w:val="21"/>
                <w:szCs w:val="21"/>
                <w:highlight w:val="none"/>
                <w:lang w:eastAsia="zh-CN"/>
              </w:rPr>
              <w:t>，设备交付后2</w:t>
            </w:r>
            <w:r>
              <w:rPr>
                <w:rFonts w:hint="eastAsia" w:ascii="Times New Roman" w:hAnsi="Times New Roman" w:cs="Times New Roman"/>
                <w:bCs/>
                <w:color w:val="auto"/>
                <w:sz w:val="21"/>
                <w:szCs w:val="21"/>
                <w:highlight w:val="none"/>
                <w:lang w:val="en-US" w:eastAsia="zh-CN"/>
              </w:rPr>
              <w:t>0</w:t>
            </w:r>
            <w:r>
              <w:rPr>
                <w:rFonts w:hint="eastAsia" w:ascii="Times New Roman" w:hAnsi="Times New Roman" w:eastAsia="宋体" w:cs="Times New Roman"/>
                <w:bCs/>
                <w:color w:val="auto"/>
                <w:sz w:val="21"/>
                <w:szCs w:val="21"/>
                <w:highlight w:val="none"/>
                <w:lang w:eastAsia="zh-CN"/>
              </w:rPr>
              <w:t>个日历日内完成</w:t>
            </w:r>
            <w:r>
              <w:rPr>
                <w:rFonts w:hint="eastAsia" w:ascii="Times New Roman" w:hAnsi="Times New Roman" w:cs="Times New Roman"/>
                <w:bCs/>
                <w:color w:val="auto"/>
                <w:sz w:val="21"/>
                <w:szCs w:val="21"/>
                <w:highlight w:val="none"/>
                <w:lang w:val="en-US" w:eastAsia="zh-CN"/>
              </w:rPr>
              <w:t>中试现场</w:t>
            </w:r>
            <w:r>
              <w:rPr>
                <w:rFonts w:hint="eastAsia" w:ascii="Times New Roman" w:hAnsi="Times New Roman" w:eastAsia="宋体" w:cs="Times New Roman"/>
                <w:bCs/>
                <w:color w:val="auto"/>
                <w:sz w:val="21"/>
                <w:szCs w:val="21"/>
                <w:highlight w:val="none"/>
                <w:lang w:eastAsia="zh-CN"/>
              </w:rPr>
              <w:t>设备安装调试。</w:t>
            </w:r>
          </w:p>
        </w:tc>
        <w:tc>
          <w:tcPr>
            <w:tcW w:w="729" w:type="pct"/>
            <w:tcBorders>
              <w:left w:val="single" w:color="auto" w:sz="4" w:space="0"/>
              <w:right w:val="single" w:color="auto" w:sz="4" w:space="0"/>
            </w:tcBorders>
            <w:vAlign w:val="center"/>
          </w:tcPr>
          <w:p>
            <w:pPr>
              <w:pStyle w:val="22"/>
              <w:adjustRightInd w:val="0"/>
              <w:snapToGrid w:val="0"/>
              <w:spacing w:line="36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采购人指定地点（重庆）。</w:t>
            </w:r>
          </w:p>
        </w:tc>
      </w:tr>
    </w:tbl>
    <w:p>
      <w:pPr>
        <w:snapToGrid w:val="0"/>
        <w:spacing w:line="440" w:lineRule="exact"/>
        <w:ind w:firstLine="420" w:firstLineChars="200"/>
        <w:rPr>
          <w:color w:val="auto"/>
          <w:szCs w:val="21"/>
          <w:highlight w:val="none"/>
        </w:rPr>
      </w:pPr>
      <w:r>
        <w:rPr>
          <w:color w:val="auto"/>
          <w:szCs w:val="21"/>
          <w:highlight w:val="none"/>
        </w:rPr>
        <w:t>最高限价：</w:t>
      </w:r>
      <w:r>
        <w:rPr>
          <w:rFonts w:hint="eastAsia"/>
          <w:color w:val="auto"/>
          <w:szCs w:val="21"/>
          <w:highlight w:val="none"/>
          <w:u w:val="single"/>
          <w:lang w:val="en-US" w:eastAsia="zh-CN"/>
        </w:rPr>
        <w:t>60</w:t>
      </w:r>
      <w:r>
        <w:rPr>
          <w:color w:val="auto"/>
          <w:szCs w:val="21"/>
          <w:highlight w:val="none"/>
        </w:rPr>
        <w:t>万元。</w:t>
      </w:r>
    </w:p>
    <w:p>
      <w:pPr>
        <w:snapToGrid w:val="0"/>
        <w:spacing w:line="440" w:lineRule="exact"/>
        <w:ind w:firstLine="422" w:firstLineChars="200"/>
        <w:rPr>
          <w:color w:val="auto"/>
          <w:szCs w:val="21"/>
          <w:highlight w:val="none"/>
        </w:rPr>
      </w:pPr>
      <w:r>
        <w:rPr>
          <w:b/>
          <w:color w:val="auto"/>
          <w:szCs w:val="21"/>
          <w:highlight w:val="none"/>
        </w:rPr>
        <w:t>3．供应商资格要求</w:t>
      </w:r>
      <w:r>
        <w:rPr>
          <w:color w:val="auto"/>
          <w:szCs w:val="21"/>
          <w:highlight w:val="none"/>
        </w:rPr>
        <w:t>：</w:t>
      </w:r>
    </w:p>
    <w:p>
      <w:pPr>
        <w:snapToGrid w:val="0"/>
        <w:spacing w:line="440" w:lineRule="exact"/>
        <w:ind w:left="420" w:leftChars="200"/>
        <w:rPr>
          <w:rFonts w:hint="eastAsia" w:eastAsia="宋体"/>
          <w:b/>
          <w:bCs/>
          <w:color w:val="auto"/>
          <w:szCs w:val="21"/>
          <w:highlight w:val="none"/>
          <w:lang w:val="en-US" w:eastAsia="zh-CN"/>
        </w:rPr>
      </w:pPr>
      <w:r>
        <w:rPr>
          <w:b/>
          <w:bCs/>
          <w:color w:val="auto"/>
          <w:szCs w:val="21"/>
          <w:highlight w:val="none"/>
        </w:rPr>
        <w:t>3.1满足《中华人民共和国政府采购法》第二十二条</w:t>
      </w:r>
      <w:r>
        <w:rPr>
          <w:rFonts w:hint="eastAsia"/>
          <w:b/>
          <w:bCs/>
          <w:color w:val="auto"/>
          <w:szCs w:val="21"/>
          <w:highlight w:val="none"/>
          <w:lang w:val="en-US" w:eastAsia="zh-CN"/>
        </w:rPr>
        <w:t>规定；</w:t>
      </w:r>
    </w:p>
    <w:p>
      <w:pPr>
        <w:snapToGrid w:val="0"/>
        <w:spacing w:line="440" w:lineRule="exact"/>
        <w:ind w:left="420" w:leftChars="200"/>
        <w:rPr>
          <w:rFonts w:hint="eastAsia" w:eastAsia="宋体"/>
          <w:b/>
          <w:bCs/>
          <w:color w:val="auto"/>
          <w:szCs w:val="21"/>
          <w:highlight w:val="none"/>
          <w:lang w:eastAsia="zh-CN"/>
        </w:rPr>
      </w:pPr>
      <w:r>
        <w:rPr>
          <w:b/>
          <w:bCs/>
          <w:color w:val="auto"/>
          <w:szCs w:val="21"/>
          <w:highlight w:val="none"/>
        </w:rPr>
        <w:t>3.2落实政府采购政策需满足的资格要求：无</w:t>
      </w:r>
      <w:r>
        <w:rPr>
          <w:rFonts w:hint="eastAsia"/>
          <w:b/>
          <w:bCs/>
          <w:color w:val="auto"/>
          <w:szCs w:val="21"/>
          <w:highlight w:val="none"/>
          <w:lang w:eastAsia="zh-CN"/>
        </w:rPr>
        <w:t>；</w:t>
      </w:r>
    </w:p>
    <w:p>
      <w:pPr>
        <w:snapToGrid w:val="0"/>
        <w:spacing w:line="440" w:lineRule="exact"/>
        <w:ind w:left="420" w:leftChars="200"/>
        <w:rPr>
          <w:b/>
          <w:bCs/>
          <w:color w:val="auto"/>
          <w:szCs w:val="21"/>
          <w:highlight w:val="none"/>
        </w:rPr>
      </w:pPr>
      <w:r>
        <w:rPr>
          <w:b/>
          <w:bCs/>
          <w:color w:val="auto"/>
          <w:szCs w:val="21"/>
          <w:highlight w:val="none"/>
        </w:rPr>
        <w:t>3.3满足本项目的特定资格要求：</w:t>
      </w:r>
      <w:r>
        <w:rPr>
          <w:rFonts w:hint="eastAsia"/>
          <w:b/>
          <w:bCs/>
          <w:color w:val="auto"/>
          <w:szCs w:val="21"/>
          <w:highlight w:val="none"/>
          <w:lang w:val="en-US" w:eastAsia="zh-CN"/>
        </w:rPr>
        <w:t>无</w:t>
      </w:r>
      <w:r>
        <w:rPr>
          <w:b/>
          <w:bCs/>
          <w:color w:val="auto"/>
          <w:szCs w:val="21"/>
          <w:highlight w:val="none"/>
        </w:rPr>
        <w:t>。</w:t>
      </w:r>
    </w:p>
    <w:p>
      <w:pPr>
        <w:snapToGrid w:val="0"/>
        <w:spacing w:line="440" w:lineRule="exact"/>
        <w:ind w:firstLine="422" w:firstLineChars="200"/>
        <w:rPr>
          <w:color w:val="auto"/>
          <w:szCs w:val="21"/>
          <w:highlight w:val="none"/>
        </w:rPr>
      </w:pPr>
      <w:r>
        <w:rPr>
          <w:b/>
          <w:color w:val="auto"/>
          <w:szCs w:val="21"/>
          <w:highlight w:val="none"/>
        </w:rPr>
        <w:t>4．评比</w:t>
      </w:r>
      <w:r>
        <w:rPr>
          <w:rFonts w:hint="eastAsia"/>
          <w:b/>
          <w:color w:val="auto"/>
          <w:szCs w:val="21"/>
          <w:highlight w:val="none"/>
          <w:lang w:val="en-US" w:eastAsia="zh-CN"/>
        </w:rPr>
        <w:t>文件发售</w:t>
      </w:r>
      <w:r>
        <w:rPr>
          <w:b/>
          <w:color w:val="auto"/>
          <w:szCs w:val="21"/>
          <w:highlight w:val="none"/>
        </w:rPr>
        <w:t>时间及购买评比文件方式</w:t>
      </w:r>
      <w:r>
        <w:rPr>
          <w:color w:val="auto"/>
          <w:szCs w:val="21"/>
          <w:highlight w:val="none"/>
        </w:rPr>
        <w:t>：</w:t>
      </w:r>
    </w:p>
    <w:p>
      <w:pPr>
        <w:snapToGrid w:val="0"/>
        <w:spacing w:line="440" w:lineRule="exact"/>
        <w:ind w:firstLine="420" w:firstLineChars="200"/>
        <w:rPr>
          <w:color w:val="auto"/>
          <w:szCs w:val="21"/>
          <w:highlight w:val="none"/>
        </w:rPr>
      </w:pPr>
      <w:r>
        <w:rPr>
          <w:color w:val="auto"/>
          <w:szCs w:val="21"/>
          <w:highlight w:val="none"/>
        </w:rPr>
        <w:t>4.1凡有意参加评比的供应商，请在《中国政府采购网》（http://www.ccgp. gov.cn）网上下载本项目评比文件、评比文件发售登记表以及图纸、澄清等开标前公布的所有项目资料，无论供应商下载与否，均视为已知晓所有评比内容。</w:t>
      </w:r>
    </w:p>
    <w:p>
      <w:pPr>
        <w:snapToGrid w:val="0"/>
        <w:spacing w:line="440" w:lineRule="exact"/>
        <w:ind w:firstLine="420" w:firstLineChars="200"/>
        <w:rPr>
          <w:color w:val="auto"/>
          <w:szCs w:val="21"/>
          <w:highlight w:val="none"/>
        </w:rPr>
      </w:pPr>
      <w:r>
        <w:rPr>
          <w:color w:val="auto"/>
          <w:szCs w:val="21"/>
          <w:highlight w:val="none"/>
        </w:rPr>
        <w:t>4.2评比文件发售期：202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4</w:t>
      </w:r>
      <w:r>
        <w:rPr>
          <w:color w:val="auto"/>
          <w:szCs w:val="21"/>
          <w:highlight w:val="none"/>
        </w:rPr>
        <w:t>月</w:t>
      </w:r>
      <w:r>
        <w:rPr>
          <w:rFonts w:hint="eastAsia"/>
          <w:color w:val="auto"/>
          <w:szCs w:val="21"/>
          <w:highlight w:val="none"/>
          <w:lang w:val="en-US" w:eastAsia="zh-CN"/>
        </w:rPr>
        <w:t>28</w:t>
      </w:r>
      <w:r>
        <w:rPr>
          <w:color w:val="auto"/>
          <w:szCs w:val="21"/>
          <w:highlight w:val="none"/>
        </w:rPr>
        <w:t>日--202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6</w:t>
      </w:r>
      <w:r>
        <w:rPr>
          <w:color w:val="auto"/>
          <w:szCs w:val="21"/>
          <w:highlight w:val="none"/>
        </w:rPr>
        <w:t>日1</w:t>
      </w:r>
      <w:r>
        <w:rPr>
          <w:rFonts w:hint="eastAsia"/>
          <w:color w:val="auto"/>
          <w:szCs w:val="21"/>
          <w:highlight w:val="none"/>
          <w:lang w:val="en-US" w:eastAsia="zh-CN"/>
        </w:rPr>
        <w:t>8</w:t>
      </w:r>
      <w:r>
        <w:rPr>
          <w:color w:val="auto"/>
          <w:szCs w:val="21"/>
          <w:highlight w:val="none"/>
        </w:rPr>
        <w:t>：00（工作时间）。</w:t>
      </w:r>
    </w:p>
    <w:p>
      <w:pPr>
        <w:snapToGrid w:val="0"/>
        <w:spacing w:line="440" w:lineRule="exact"/>
        <w:ind w:firstLine="420" w:firstLineChars="200"/>
        <w:rPr>
          <w:color w:val="auto"/>
          <w:szCs w:val="21"/>
          <w:highlight w:val="none"/>
        </w:rPr>
      </w:pPr>
      <w:r>
        <w:rPr>
          <w:color w:val="auto"/>
          <w:szCs w:val="21"/>
          <w:highlight w:val="none"/>
        </w:rPr>
        <w:t>4.3购买评比文件方式：在评比文件发售期内，供应商将评比文件购买费用以微信或支付宝转账方式汇至以下指定账户，转账成功后，需将转账截图和《评比文件发售登记表》（加盖公章）扫描件一起发送至采购代理机构</w:t>
      </w:r>
      <w:r>
        <w:rPr>
          <w:color w:val="auto"/>
          <w:szCs w:val="21"/>
          <w:highlight w:val="none"/>
          <w:u w:val="single"/>
        </w:rPr>
        <w:t>515571653@qq.com</w:t>
      </w:r>
      <w:r>
        <w:rPr>
          <w:color w:val="auto"/>
          <w:szCs w:val="21"/>
          <w:highlight w:val="none"/>
        </w:rPr>
        <w:t>邮箱进行确认（注：转账汇款时需按要求备注单位名称、项目名称和资料费等信息）。</w:t>
      </w:r>
    </w:p>
    <w:p>
      <w:pPr>
        <w:shd w:val="clear" w:color="auto" w:fill="FFFFFF"/>
        <w:spacing w:line="360" w:lineRule="auto"/>
        <w:ind w:firstLine="720"/>
        <w:rPr>
          <w:color w:val="auto"/>
          <w:szCs w:val="21"/>
          <w:highlight w:val="none"/>
        </w:rPr>
      </w:pPr>
      <w:r>
        <w:rPr>
          <w:color w:val="auto"/>
          <w:szCs w:val="21"/>
          <w:highlight w:val="none"/>
        </w:rPr>
        <w:t>二维码收款账户：</w:t>
      </w:r>
    </w:p>
    <w:p>
      <w:pPr>
        <w:shd w:val="clear" w:color="auto" w:fill="FFFFFF"/>
        <w:spacing w:line="360" w:lineRule="auto"/>
        <w:ind w:firstLine="720"/>
        <w:rPr>
          <w:color w:val="auto"/>
          <w:szCs w:val="21"/>
          <w:highlight w:val="none"/>
        </w:rPr>
      </w:pPr>
      <w:r>
        <w:rPr>
          <w:color w:val="auto"/>
          <w:szCs w:val="21"/>
          <w:highlight w:val="none"/>
        </w:rPr>
        <w:drawing>
          <wp:inline distT="0" distB="0" distL="0" distR="0">
            <wp:extent cx="1412240" cy="17576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t="4124" b="1031"/>
                    <a:stretch>
                      <a:fillRect/>
                    </a:stretch>
                  </pic:blipFill>
                  <pic:spPr>
                    <a:xfrm>
                      <a:off x="0" y="0"/>
                      <a:ext cx="1412240" cy="1757680"/>
                    </a:xfrm>
                    <a:prstGeom prst="rect">
                      <a:avLst/>
                    </a:prstGeom>
                    <a:noFill/>
                    <a:ln>
                      <a:noFill/>
                    </a:ln>
                  </pic:spPr>
                </pic:pic>
              </a:graphicData>
            </a:graphic>
          </wp:inline>
        </w:drawing>
      </w:r>
    </w:p>
    <w:p>
      <w:pPr>
        <w:adjustRightInd w:val="0"/>
        <w:snapToGrid w:val="0"/>
        <w:spacing w:line="440" w:lineRule="exact"/>
        <w:ind w:firstLine="420" w:firstLineChars="200"/>
        <w:rPr>
          <w:color w:val="auto"/>
          <w:szCs w:val="21"/>
          <w:highlight w:val="none"/>
        </w:rPr>
      </w:pPr>
      <w:r>
        <w:rPr>
          <w:color w:val="auto"/>
          <w:szCs w:val="21"/>
          <w:highlight w:val="none"/>
        </w:rPr>
        <w:t>4.4评比文件费：</w:t>
      </w:r>
      <w:r>
        <w:rPr>
          <w:color w:val="auto"/>
          <w:szCs w:val="21"/>
          <w:highlight w:val="none"/>
          <w:u w:val="single"/>
        </w:rPr>
        <w:t>500</w:t>
      </w:r>
      <w:r>
        <w:rPr>
          <w:color w:val="auto"/>
          <w:szCs w:val="21"/>
          <w:highlight w:val="none"/>
        </w:rPr>
        <w:t>元/份（售后不退）。评比供应商自行在《中国政府采购网》上下载本项目评比文件。在评比文件发售期内购买了评比文件的供应商，其响应文件才被接收。</w:t>
      </w:r>
    </w:p>
    <w:p>
      <w:pPr>
        <w:adjustRightInd w:val="0"/>
        <w:snapToGrid w:val="0"/>
        <w:spacing w:line="440" w:lineRule="exact"/>
        <w:ind w:firstLine="422" w:firstLineChars="200"/>
        <w:rPr>
          <w:color w:val="auto"/>
          <w:szCs w:val="21"/>
          <w:highlight w:val="none"/>
        </w:rPr>
      </w:pPr>
      <w:r>
        <w:rPr>
          <w:b/>
          <w:color w:val="auto"/>
          <w:szCs w:val="21"/>
          <w:highlight w:val="none"/>
        </w:rPr>
        <w:t>5．评比时间</w:t>
      </w:r>
      <w:r>
        <w:rPr>
          <w:color w:val="auto"/>
          <w:szCs w:val="21"/>
          <w:highlight w:val="none"/>
        </w:rPr>
        <w:t>：202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9</w:t>
      </w:r>
      <w:r>
        <w:rPr>
          <w:color w:val="auto"/>
          <w:szCs w:val="21"/>
          <w:highlight w:val="none"/>
        </w:rPr>
        <w:t>日</w:t>
      </w:r>
      <w:r>
        <w:rPr>
          <w:rFonts w:hint="eastAsia"/>
          <w:color w:val="auto"/>
          <w:szCs w:val="21"/>
          <w:highlight w:val="none"/>
          <w:lang w:val="en-US" w:eastAsia="zh-CN"/>
        </w:rPr>
        <w:t>下</w:t>
      </w:r>
      <w:r>
        <w:rPr>
          <w:color w:val="auto"/>
          <w:szCs w:val="21"/>
          <w:highlight w:val="none"/>
        </w:rPr>
        <w:t>午1</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3</w:t>
      </w:r>
      <w:r>
        <w:rPr>
          <w:color w:val="auto"/>
          <w:szCs w:val="21"/>
          <w:highlight w:val="none"/>
        </w:rPr>
        <w:t>0（北京时间），届时请参加评比的供应商出席评比仪式。</w:t>
      </w:r>
    </w:p>
    <w:p>
      <w:pPr>
        <w:adjustRightInd w:val="0"/>
        <w:snapToGrid w:val="0"/>
        <w:spacing w:line="440" w:lineRule="exact"/>
        <w:ind w:firstLine="422" w:firstLineChars="200"/>
        <w:rPr>
          <w:color w:val="auto"/>
          <w:szCs w:val="21"/>
          <w:highlight w:val="none"/>
        </w:rPr>
      </w:pPr>
      <w:r>
        <w:rPr>
          <w:b/>
          <w:color w:val="auto"/>
          <w:szCs w:val="21"/>
          <w:highlight w:val="none"/>
        </w:rPr>
        <w:t>6．评比地点：</w:t>
      </w:r>
      <w:r>
        <w:rPr>
          <w:color w:val="auto"/>
          <w:szCs w:val="21"/>
          <w:highlight w:val="none"/>
        </w:rPr>
        <w:t>重庆市渝中区双钢路1号8号楼1楼（重庆赛迪工程咨询有限公司会议中心）。</w:t>
      </w:r>
    </w:p>
    <w:p>
      <w:pPr>
        <w:pStyle w:val="22"/>
        <w:adjustRightInd w:val="0"/>
        <w:snapToGrid w:val="0"/>
        <w:spacing w:line="440" w:lineRule="exact"/>
        <w:ind w:firstLine="381" w:firstLineChars="200"/>
        <w:rPr>
          <w:rFonts w:ascii="Times New Roman" w:hAnsi="Times New Roman"/>
          <w:color w:val="auto"/>
          <w:sz w:val="21"/>
          <w:szCs w:val="21"/>
          <w:highlight w:val="none"/>
        </w:rPr>
      </w:pPr>
      <w:r>
        <w:rPr>
          <w:rFonts w:ascii="Times New Roman" w:hAnsi="Times New Roman"/>
          <w:b/>
          <w:color w:val="auto"/>
          <w:szCs w:val="21"/>
          <w:highlight w:val="none"/>
        </w:rPr>
        <w:t>7．响应文件的递交</w:t>
      </w:r>
      <w:r>
        <w:rPr>
          <w:rFonts w:ascii="Times New Roman" w:hAnsi="Times New Roman"/>
          <w:color w:val="auto"/>
          <w:szCs w:val="21"/>
          <w:highlight w:val="none"/>
        </w:rPr>
        <w:t>：</w:t>
      </w:r>
      <w:r>
        <w:rPr>
          <w:rFonts w:ascii="Times New Roman" w:hAnsi="Times New Roman"/>
          <w:color w:val="auto"/>
          <w:sz w:val="21"/>
          <w:szCs w:val="21"/>
          <w:highlight w:val="none"/>
        </w:rPr>
        <w:t>评比响应文件须密封后于（评比当日）评比时间前递至评比地点，逾期送达或密封不符合规定的评比响应文件恕不接受。</w:t>
      </w:r>
    </w:p>
    <w:p>
      <w:pPr>
        <w:adjustRightInd w:val="0"/>
        <w:snapToGrid w:val="0"/>
        <w:spacing w:line="440" w:lineRule="exact"/>
        <w:ind w:firstLine="422" w:firstLineChars="200"/>
        <w:rPr>
          <w:b/>
          <w:bCs/>
          <w:color w:val="auto"/>
          <w:szCs w:val="21"/>
          <w:highlight w:val="none"/>
        </w:rPr>
      </w:pPr>
      <w:r>
        <w:rPr>
          <w:b/>
          <w:bCs/>
          <w:color w:val="auto"/>
          <w:szCs w:val="21"/>
          <w:highlight w:val="none"/>
        </w:rPr>
        <w:t>注：外地供应商可通过邮寄方式递交响应文件，以邮寄方式递交响应文件的供应商应将响应文件用内、外两层信封密封，按评比文件中的总则第14款“评比响应文件的装订、密封和标记”执行。响应文件须于递交截止时间前送达，收件地址：重庆市渝中区双钢路1号 ，收件人：文老师，联系电话：15086825512。</w:t>
      </w:r>
    </w:p>
    <w:p>
      <w:pPr>
        <w:snapToGrid w:val="0"/>
        <w:spacing w:line="440" w:lineRule="exact"/>
        <w:ind w:firstLine="422" w:firstLineChars="200"/>
        <w:rPr>
          <w:b/>
          <w:bCs/>
          <w:color w:val="auto"/>
          <w:szCs w:val="21"/>
          <w:highlight w:val="none"/>
        </w:rPr>
      </w:pPr>
      <w:r>
        <w:rPr>
          <w:b/>
          <w:bCs/>
          <w:color w:val="auto"/>
          <w:szCs w:val="21"/>
          <w:highlight w:val="none"/>
        </w:rPr>
        <w:t>8.评比的有关规定</w:t>
      </w:r>
    </w:p>
    <w:p>
      <w:pPr>
        <w:snapToGrid w:val="0"/>
        <w:spacing w:line="440" w:lineRule="exact"/>
        <w:ind w:firstLine="420" w:firstLineChars="200"/>
        <w:rPr>
          <w:color w:val="auto"/>
          <w:szCs w:val="21"/>
          <w:highlight w:val="none"/>
        </w:rPr>
      </w:pPr>
      <w:r>
        <w:rPr>
          <w:color w:val="auto"/>
          <w:szCs w:val="21"/>
          <w:highlight w:val="none"/>
        </w:rPr>
        <w:t>8.1单位负责人为同一人或者存在直接控股、管理关系的不同供应商，不得参加同一合同项（分包）下的政府采购活动。</w:t>
      </w:r>
    </w:p>
    <w:p>
      <w:pPr>
        <w:snapToGrid w:val="0"/>
        <w:spacing w:line="440" w:lineRule="exact"/>
        <w:ind w:firstLine="420" w:firstLineChars="200"/>
        <w:rPr>
          <w:color w:val="auto"/>
          <w:szCs w:val="21"/>
          <w:highlight w:val="none"/>
        </w:rPr>
      </w:pPr>
      <w:r>
        <w:rPr>
          <w:color w:val="auto"/>
          <w:szCs w:val="21"/>
          <w:highlight w:val="none"/>
        </w:rPr>
        <w:t>8.2为采购项目提供整体设计、规范编制或者项目管理、监理、检测等服务的供应商，不得再参加该采购项目的其他采购活动。</w:t>
      </w:r>
    </w:p>
    <w:p>
      <w:pPr>
        <w:snapToGrid w:val="0"/>
        <w:spacing w:line="440" w:lineRule="exact"/>
        <w:ind w:firstLine="420" w:firstLineChars="200"/>
        <w:rPr>
          <w:color w:val="auto"/>
          <w:szCs w:val="21"/>
          <w:highlight w:val="none"/>
        </w:rPr>
      </w:pPr>
      <w:r>
        <w:rPr>
          <w:color w:val="auto"/>
          <w:szCs w:val="21"/>
          <w:highlight w:val="none"/>
        </w:rPr>
        <w:t>8.3响应费用：无论评选结果如何，供应商参与本项目评比的所有费用均应由供应商自行承担。</w:t>
      </w:r>
    </w:p>
    <w:p>
      <w:pPr>
        <w:snapToGrid w:val="0"/>
        <w:spacing w:line="440" w:lineRule="exact"/>
        <w:ind w:firstLine="420" w:firstLineChars="200"/>
        <w:rPr>
          <w:color w:val="auto"/>
          <w:szCs w:val="21"/>
          <w:highlight w:val="none"/>
        </w:rPr>
      </w:pPr>
      <w:r>
        <w:rPr>
          <w:color w:val="auto"/>
          <w:szCs w:val="21"/>
          <w:highlight w:val="none"/>
        </w:rPr>
        <w:t>8.4本项目不接受联合体参与响应。</w:t>
      </w:r>
    </w:p>
    <w:p>
      <w:pPr>
        <w:snapToGrid w:val="0"/>
        <w:spacing w:line="440" w:lineRule="exact"/>
        <w:ind w:firstLine="420" w:firstLineChars="200"/>
        <w:rPr>
          <w:color w:val="auto"/>
          <w:szCs w:val="21"/>
          <w:highlight w:val="none"/>
        </w:rPr>
      </w:pPr>
      <w:r>
        <w:rPr>
          <w:color w:val="auto"/>
          <w:szCs w:val="21"/>
          <w:highlight w:val="none"/>
        </w:rPr>
        <w:t>8.5本项目不接受合同分包。</w:t>
      </w:r>
    </w:p>
    <w:p>
      <w:pPr>
        <w:adjustRightInd w:val="0"/>
        <w:snapToGrid w:val="0"/>
        <w:spacing w:line="440" w:lineRule="exact"/>
        <w:ind w:firstLine="420" w:firstLineChars="200"/>
        <w:rPr>
          <w:b/>
          <w:bCs/>
          <w:color w:val="auto"/>
          <w:szCs w:val="21"/>
          <w:highlight w:val="none"/>
        </w:rPr>
      </w:pPr>
      <w:bookmarkStart w:id="2" w:name="OLE_LINK2"/>
      <w:bookmarkStart w:id="3" w:name="OLE_LINK1"/>
      <w:r>
        <w:rPr>
          <w:color w:val="auto"/>
          <w:szCs w:val="21"/>
          <w:highlight w:val="none"/>
        </w:rPr>
        <w:t>8.6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2"/>
      <w:bookmarkEnd w:id="3"/>
      <w:r>
        <w:rPr>
          <w:color w:val="auto"/>
          <w:szCs w:val="21"/>
          <w:highlight w:val="none"/>
        </w:rPr>
        <w:t>供应商，将拒绝其参与本项目采购活动。</w:t>
      </w:r>
    </w:p>
    <w:p>
      <w:pPr>
        <w:adjustRightInd w:val="0"/>
        <w:snapToGrid w:val="0"/>
        <w:spacing w:line="440" w:lineRule="exact"/>
        <w:ind w:firstLine="422" w:firstLineChars="200"/>
        <w:rPr>
          <w:color w:val="auto"/>
          <w:szCs w:val="21"/>
          <w:highlight w:val="none"/>
        </w:rPr>
      </w:pPr>
      <w:r>
        <w:rPr>
          <w:b/>
          <w:color w:val="auto"/>
          <w:szCs w:val="21"/>
          <w:highlight w:val="none"/>
        </w:rPr>
        <w:t>9．评分方法：</w:t>
      </w:r>
      <w:r>
        <w:rPr>
          <w:color w:val="auto"/>
          <w:szCs w:val="21"/>
          <w:highlight w:val="none"/>
        </w:rPr>
        <w:t>综合评分法</w:t>
      </w:r>
    </w:p>
    <w:p>
      <w:pPr>
        <w:adjustRightInd w:val="0"/>
        <w:snapToGrid w:val="0"/>
        <w:spacing w:line="440" w:lineRule="exact"/>
        <w:ind w:firstLine="422" w:firstLineChars="200"/>
        <w:rPr>
          <w:b/>
          <w:color w:val="auto"/>
          <w:szCs w:val="21"/>
          <w:highlight w:val="none"/>
        </w:rPr>
      </w:pPr>
      <w:r>
        <w:rPr>
          <w:b/>
          <w:color w:val="auto"/>
          <w:szCs w:val="21"/>
          <w:highlight w:val="none"/>
        </w:rPr>
        <w:t>10．联系人和联系方式</w:t>
      </w:r>
    </w:p>
    <w:p>
      <w:pPr>
        <w:adjustRightInd w:val="0"/>
        <w:snapToGrid w:val="0"/>
        <w:spacing w:line="440" w:lineRule="exact"/>
        <w:ind w:firstLine="422" w:firstLineChars="200"/>
        <w:rPr>
          <w:rFonts w:hint="eastAsia" w:eastAsia="宋体"/>
          <w:color w:val="auto"/>
          <w:szCs w:val="21"/>
          <w:highlight w:val="none"/>
          <w:lang w:eastAsia="zh-CN"/>
        </w:rPr>
      </w:pPr>
      <w:r>
        <w:rPr>
          <w:b/>
          <w:color w:val="auto"/>
          <w:szCs w:val="21"/>
          <w:highlight w:val="none"/>
        </w:rPr>
        <w:t>采购人：</w:t>
      </w:r>
      <w:r>
        <w:rPr>
          <w:rFonts w:hint="eastAsia"/>
          <w:color w:val="auto"/>
          <w:szCs w:val="21"/>
          <w:highlight w:val="none"/>
          <w:lang w:eastAsia="zh-CN"/>
        </w:rPr>
        <w:t>哈尔滨工业大学重庆研究院</w:t>
      </w:r>
    </w:p>
    <w:p>
      <w:pPr>
        <w:snapToGrid w:val="0"/>
        <w:spacing w:line="440" w:lineRule="exact"/>
        <w:ind w:firstLine="420" w:firstLineChars="200"/>
        <w:rPr>
          <w:bCs/>
          <w:color w:val="auto"/>
          <w:szCs w:val="21"/>
          <w:highlight w:val="none"/>
        </w:rPr>
      </w:pPr>
      <w:r>
        <w:rPr>
          <w:bCs/>
          <w:color w:val="auto"/>
          <w:szCs w:val="21"/>
          <w:highlight w:val="none"/>
        </w:rPr>
        <w:t>联系人：</w:t>
      </w:r>
      <w:r>
        <w:rPr>
          <w:rFonts w:hint="eastAsia"/>
          <w:bCs/>
          <w:color w:val="auto"/>
          <w:szCs w:val="21"/>
          <w:highlight w:val="none"/>
          <w:lang w:val="en-US" w:eastAsia="zh-CN"/>
        </w:rPr>
        <w:t>车</w:t>
      </w:r>
      <w:r>
        <w:rPr>
          <w:bCs/>
          <w:color w:val="auto"/>
          <w:szCs w:val="21"/>
          <w:highlight w:val="none"/>
        </w:rPr>
        <w:t>老师</w:t>
      </w:r>
    </w:p>
    <w:p>
      <w:pPr>
        <w:snapToGrid w:val="0"/>
        <w:spacing w:line="440" w:lineRule="exact"/>
        <w:ind w:firstLine="420" w:firstLineChars="200"/>
        <w:rPr>
          <w:rFonts w:ascii="Times New Roman" w:hAnsi="Times New Roman" w:eastAsia="宋体" w:cs="Times New Roman"/>
          <w:bCs/>
          <w:color w:val="auto"/>
          <w:szCs w:val="21"/>
          <w:highlight w:val="none"/>
        </w:rPr>
      </w:pPr>
      <w:r>
        <w:rPr>
          <w:bCs/>
          <w:color w:val="auto"/>
          <w:szCs w:val="21"/>
          <w:highlight w:val="none"/>
        </w:rPr>
        <w:t>电话：</w:t>
      </w:r>
      <w:r>
        <w:rPr>
          <w:rFonts w:hint="eastAsia" w:ascii="Times New Roman" w:hAnsi="Times New Roman" w:eastAsia="宋体" w:cs="Times New Roman"/>
          <w:bCs/>
          <w:color w:val="auto"/>
          <w:szCs w:val="21"/>
          <w:highlight w:val="none"/>
        </w:rPr>
        <w:t>13688150241</w:t>
      </w:r>
    </w:p>
    <w:p>
      <w:pPr>
        <w:snapToGrid w:val="0"/>
        <w:spacing w:line="440" w:lineRule="exact"/>
        <w:ind w:firstLine="420" w:firstLineChars="200"/>
        <w:rPr>
          <w:rFonts w:hint="eastAsia" w:eastAsia="宋体"/>
          <w:bCs/>
          <w:color w:val="auto"/>
          <w:szCs w:val="21"/>
          <w:highlight w:val="none"/>
          <w:lang w:val="en-US" w:eastAsia="zh-CN"/>
        </w:rPr>
      </w:pPr>
      <w:r>
        <w:rPr>
          <w:bCs/>
          <w:color w:val="auto"/>
          <w:szCs w:val="21"/>
          <w:highlight w:val="none"/>
        </w:rPr>
        <w:t>技术负责人：</w:t>
      </w:r>
      <w:r>
        <w:rPr>
          <w:rFonts w:hint="eastAsia"/>
          <w:bCs/>
          <w:color w:val="auto"/>
          <w:szCs w:val="21"/>
          <w:highlight w:val="none"/>
          <w:lang w:val="en-US" w:eastAsia="zh-CN"/>
        </w:rPr>
        <w:t>扶俊</w:t>
      </w:r>
    </w:p>
    <w:p>
      <w:pPr>
        <w:snapToGrid w:val="0"/>
        <w:spacing w:line="440" w:lineRule="exact"/>
        <w:ind w:firstLine="420" w:firstLineChars="200"/>
        <w:rPr>
          <w:bCs/>
          <w:color w:val="auto"/>
          <w:szCs w:val="21"/>
          <w:highlight w:val="none"/>
        </w:rPr>
      </w:pPr>
      <w:r>
        <w:rPr>
          <w:bCs/>
          <w:color w:val="auto"/>
          <w:szCs w:val="21"/>
          <w:highlight w:val="none"/>
        </w:rPr>
        <w:t>电话：</w:t>
      </w:r>
      <w:r>
        <w:rPr>
          <w:rFonts w:hint="eastAsia"/>
          <w:color w:val="auto"/>
          <w:highlight w:val="none"/>
        </w:rPr>
        <w:t>13206112025</w:t>
      </w:r>
    </w:p>
    <w:p>
      <w:pPr>
        <w:snapToGrid w:val="0"/>
        <w:spacing w:line="440" w:lineRule="exact"/>
        <w:ind w:firstLine="420" w:firstLineChars="200"/>
        <w:rPr>
          <w:rFonts w:ascii="Times New Roman" w:hAnsi="Times New Roman" w:eastAsia="宋体" w:cs="Times New Roman"/>
          <w:bCs/>
          <w:color w:val="auto"/>
          <w:szCs w:val="21"/>
          <w:highlight w:val="none"/>
        </w:rPr>
      </w:pPr>
      <w:r>
        <w:rPr>
          <w:bCs/>
          <w:color w:val="auto"/>
          <w:szCs w:val="21"/>
          <w:highlight w:val="none"/>
        </w:rPr>
        <w:t xml:space="preserve">地址： </w:t>
      </w:r>
      <w:r>
        <w:rPr>
          <w:rFonts w:hint="eastAsia" w:ascii="Times New Roman" w:hAnsi="Times New Roman" w:eastAsia="宋体" w:cs="Times New Roman"/>
          <w:bCs/>
          <w:color w:val="auto"/>
          <w:szCs w:val="21"/>
          <w:highlight w:val="none"/>
        </w:rPr>
        <w:t>重庆市渝北区联合产业孵化基地4#楼哈尔滨工业大学重庆研究院</w:t>
      </w:r>
    </w:p>
    <w:p>
      <w:pPr>
        <w:snapToGrid w:val="0"/>
        <w:spacing w:line="440" w:lineRule="exact"/>
        <w:ind w:firstLine="420" w:firstLineChars="200"/>
        <w:rPr>
          <w:color w:val="auto"/>
          <w:szCs w:val="21"/>
          <w:highlight w:val="none"/>
        </w:rPr>
      </w:pPr>
    </w:p>
    <w:p>
      <w:pPr>
        <w:snapToGrid w:val="0"/>
        <w:spacing w:line="440" w:lineRule="exact"/>
        <w:ind w:firstLine="422" w:firstLineChars="200"/>
        <w:rPr>
          <w:color w:val="auto"/>
          <w:szCs w:val="21"/>
          <w:highlight w:val="none"/>
        </w:rPr>
      </w:pPr>
      <w:r>
        <w:rPr>
          <w:b/>
          <w:color w:val="auto"/>
          <w:szCs w:val="21"/>
          <w:highlight w:val="none"/>
        </w:rPr>
        <w:t>采购代理机构：</w:t>
      </w:r>
      <w:r>
        <w:rPr>
          <w:color w:val="auto"/>
          <w:szCs w:val="21"/>
          <w:highlight w:val="none"/>
        </w:rPr>
        <w:t>重庆赛迪工程咨询有限公司</w:t>
      </w:r>
    </w:p>
    <w:p>
      <w:pPr>
        <w:snapToGrid w:val="0"/>
        <w:spacing w:line="440" w:lineRule="exact"/>
        <w:ind w:firstLine="420" w:firstLineChars="200"/>
        <w:rPr>
          <w:color w:val="auto"/>
          <w:szCs w:val="21"/>
          <w:highlight w:val="none"/>
        </w:rPr>
      </w:pPr>
      <w:r>
        <w:rPr>
          <w:color w:val="auto"/>
          <w:szCs w:val="21"/>
          <w:highlight w:val="none"/>
        </w:rPr>
        <w:t>联系人：文老师</w:t>
      </w:r>
    </w:p>
    <w:p>
      <w:pPr>
        <w:snapToGrid w:val="0"/>
        <w:spacing w:line="440" w:lineRule="exact"/>
        <w:ind w:firstLine="420" w:firstLineChars="200"/>
        <w:rPr>
          <w:color w:val="auto"/>
          <w:szCs w:val="21"/>
          <w:highlight w:val="none"/>
        </w:rPr>
      </w:pPr>
      <w:r>
        <w:rPr>
          <w:color w:val="auto"/>
          <w:szCs w:val="21"/>
          <w:highlight w:val="none"/>
        </w:rPr>
        <w:t>电  话：023-63545924</w:t>
      </w:r>
    </w:p>
    <w:p>
      <w:pPr>
        <w:snapToGrid w:val="0"/>
        <w:spacing w:line="440" w:lineRule="exact"/>
        <w:ind w:firstLine="420" w:firstLineChars="200"/>
        <w:rPr>
          <w:color w:val="auto"/>
          <w:szCs w:val="21"/>
          <w:highlight w:val="none"/>
        </w:rPr>
      </w:pPr>
      <w:r>
        <w:rPr>
          <w:color w:val="auto"/>
          <w:szCs w:val="21"/>
          <w:highlight w:val="none"/>
        </w:rPr>
        <w:t>地  址：重庆市渝中区双钢路1号</w:t>
      </w:r>
    </w:p>
    <w:p>
      <w:pPr>
        <w:rPr>
          <w:color w:val="auto"/>
          <w:szCs w:val="36"/>
          <w:highlight w:val="none"/>
        </w:rPr>
      </w:pPr>
      <w:bookmarkStart w:id="4" w:name="_Toc10213426"/>
      <w:r>
        <w:rPr>
          <w:color w:val="auto"/>
          <w:szCs w:val="36"/>
          <w:highlight w:val="none"/>
        </w:rPr>
        <w:br w:type="page"/>
      </w:r>
    </w:p>
    <w:p>
      <w:pPr>
        <w:pStyle w:val="2"/>
        <w:rPr>
          <w:rFonts w:eastAsia="宋体"/>
          <w:bCs w:val="0"/>
          <w:color w:val="auto"/>
          <w:kern w:val="2"/>
          <w:szCs w:val="36"/>
          <w:highlight w:val="none"/>
        </w:rPr>
      </w:pPr>
      <w:r>
        <w:rPr>
          <w:rFonts w:eastAsia="宋体"/>
          <w:bCs w:val="0"/>
          <w:color w:val="auto"/>
          <w:kern w:val="2"/>
          <w:szCs w:val="36"/>
          <w:highlight w:val="none"/>
        </w:rPr>
        <w:t>第二章 评比供应商须知</w:t>
      </w:r>
      <w:bookmarkEnd w:id="4"/>
    </w:p>
    <w:p>
      <w:pPr>
        <w:jc w:val="center"/>
        <w:rPr>
          <w:b/>
          <w:color w:val="auto"/>
          <w:sz w:val="30"/>
          <w:szCs w:val="30"/>
          <w:highlight w:val="none"/>
        </w:rPr>
      </w:pPr>
      <w:bookmarkStart w:id="5" w:name="_Toc68963460"/>
      <w:r>
        <w:rPr>
          <w:b/>
          <w:color w:val="auto"/>
          <w:sz w:val="30"/>
          <w:szCs w:val="30"/>
          <w:highlight w:val="none"/>
        </w:rPr>
        <w:t>评比供应商须知前附表</w:t>
      </w:r>
      <w:bookmarkEnd w:id="5"/>
    </w:p>
    <w:tbl>
      <w:tblPr>
        <w:tblStyle w:val="39"/>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8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序号</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条款号</w:t>
            </w:r>
          </w:p>
        </w:tc>
        <w:tc>
          <w:tcPr>
            <w:tcW w:w="813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具 体 信 息 或 数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1.1</w:t>
            </w:r>
          </w:p>
        </w:tc>
        <w:tc>
          <w:tcPr>
            <w:tcW w:w="8135" w:type="dxa"/>
            <w:tcMar>
              <w:top w:w="57" w:type="dxa"/>
              <w:bottom w:w="57" w:type="dxa"/>
            </w:tcMar>
            <w:vAlign w:val="center"/>
          </w:tcPr>
          <w:p>
            <w:pPr>
              <w:pStyle w:val="22"/>
              <w:adjustRightInd w:val="0"/>
              <w:snapToGrid w:val="0"/>
              <w:spacing w:line="440" w:lineRule="exact"/>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项目名称：</w:t>
            </w:r>
            <w:r>
              <w:rPr>
                <w:rFonts w:hint="eastAsia" w:ascii="Times New Roman" w:hAnsi="Times New Roman"/>
                <w:color w:val="auto"/>
                <w:sz w:val="21"/>
                <w:szCs w:val="21"/>
                <w:highlight w:val="none"/>
                <w:lang w:eastAsia="zh-CN"/>
              </w:rPr>
              <w:t>哈尔滨工业大学重庆研究院智能化层析分离中试系统采购项目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2</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1.2</w:t>
            </w:r>
          </w:p>
        </w:tc>
        <w:tc>
          <w:tcPr>
            <w:tcW w:w="8135" w:type="dxa"/>
            <w:tcMar>
              <w:top w:w="57" w:type="dxa"/>
              <w:bottom w:w="57" w:type="dxa"/>
            </w:tcMar>
            <w:vAlign w:val="center"/>
          </w:tcPr>
          <w:p>
            <w:pPr>
              <w:pStyle w:val="22"/>
              <w:adjustRightInd w:val="0"/>
              <w:snapToGrid w:val="0"/>
              <w:spacing w:line="440" w:lineRule="exact"/>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采购人：</w:t>
            </w:r>
            <w:r>
              <w:rPr>
                <w:rFonts w:hint="eastAsia" w:ascii="Times New Roman" w:hAnsi="Times New Roman"/>
                <w:color w:val="auto"/>
                <w:sz w:val="21"/>
                <w:szCs w:val="21"/>
                <w:highlight w:val="none"/>
                <w:lang w:eastAsia="zh-CN"/>
              </w:rPr>
              <w:t>哈尔滨工业大学重庆研究院</w:t>
            </w:r>
          </w:p>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采购人地址：</w:t>
            </w:r>
            <w:r>
              <w:rPr>
                <w:rFonts w:hint="eastAsia" w:ascii="Times New Roman" w:hAnsi="Times New Roman" w:eastAsia="宋体" w:cs="Times New Roman"/>
                <w:color w:val="auto"/>
                <w:sz w:val="21"/>
                <w:szCs w:val="21"/>
                <w:highlight w:val="none"/>
                <w:lang w:eastAsia="zh-CN"/>
              </w:rPr>
              <w:t>重庆市渝北区联合产业孵化基地4#楼哈尔滨工业大学重庆研究院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3</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1.4</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hint="eastAsia" w:ascii="Times New Roman" w:hAnsi="Times New Roman"/>
                <w:bCs/>
                <w:color w:val="auto"/>
                <w:sz w:val="21"/>
                <w:szCs w:val="21"/>
                <w:highlight w:val="none"/>
                <w:lang w:val="en-US" w:eastAsia="zh-CN"/>
              </w:rPr>
              <w:t>供货</w:t>
            </w:r>
            <w:r>
              <w:rPr>
                <w:rFonts w:ascii="Times New Roman" w:hAnsi="Times New Roman"/>
                <w:bCs/>
                <w:color w:val="auto"/>
                <w:sz w:val="21"/>
                <w:szCs w:val="21"/>
                <w:highlight w:val="none"/>
              </w:rPr>
              <w:t>期</w:t>
            </w:r>
            <w:r>
              <w:rPr>
                <w:rFonts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rPr>
              <w:t>收到预付款后</w:t>
            </w:r>
            <w:r>
              <w:rPr>
                <w:rFonts w:hint="eastAsia" w:ascii="Times New Roman" w:hAnsi="Times New Roman" w:eastAsia="宋体" w:cs="Times New Roman"/>
                <w:bCs/>
                <w:color w:val="auto"/>
                <w:sz w:val="21"/>
                <w:szCs w:val="21"/>
                <w:highlight w:val="none"/>
                <w:lang w:eastAsia="zh-CN"/>
              </w:rPr>
              <w:t>7</w:t>
            </w:r>
            <w:r>
              <w:rPr>
                <w:rFonts w:hint="eastAsia" w:ascii="Times New Roman" w:hAnsi="Times New Roman" w:cs="Times New Roman"/>
                <w:bCs/>
                <w:color w:val="auto"/>
                <w:sz w:val="21"/>
                <w:szCs w:val="21"/>
                <w:highlight w:val="none"/>
                <w:lang w:val="en-US" w:eastAsia="zh-CN"/>
              </w:rPr>
              <w:t>5</w:t>
            </w:r>
            <w:r>
              <w:rPr>
                <w:rFonts w:hint="eastAsia" w:ascii="Times New Roman" w:hAnsi="Times New Roman" w:eastAsia="宋体" w:cs="Times New Roman"/>
                <w:bCs/>
                <w:color w:val="auto"/>
                <w:sz w:val="21"/>
                <w:szCs w:val="21"/>
                <w:highlight w:val="none"/>
                <w:lang w:eastAsia="zh-CN"/>
              </w:rPr>
              <w:t>个日历日内完成设备加工，设备交付后2</w:t>
            </w:r>
            <w:r>
              <w:rPr>
                <w:rFonts w:hint="eastAsia" w:ascii="Times New Roman" w:hAnsi="Times New Roman" w:cs="Times New Roman"/>
                <w:bCs/>
                <w:color w:val="auto"/>
                <w:sz w:val="21"/>
                <w:szCs w:val="21"/>
                <w:highlight w:val="none"/>
                <w:lang w:val="en-US" w:eastAsia="zh-CN"/>
              </w:rPr>
              <w:t>0</w:t>
            </w:r>
            <w:r>
              <w:rPr>
                <w:rFonts w:hint="eastAsia" w:ascii="Times New Roman" w:hAnsi="Times New Roman" w:eastAsia="宋体" w:cs="Times New Roman"/>
                <w:bCs/>
                <w:color w:val="auto"/>
                <w:sz w:val="21"/>
                <w:szCs w:val="21"/>
                <w:highlight w:val="none"/>
                <w:lang w:eastAsia="zh-CN"/>
              </w:rPr>
              <w:t>个日历日内完成</w:t>
            </w:r>
            <w:r>
              <w:rPr>
                <w:rFonts w:hint="eastAsia" w:ascii="Times New Roman" w:hAnsi="Times New Roman" w:cs="Times New Roman"/>
                <w:bCs/>
                <w:color w:val="auto"/>
                <w:sz w:val="21"/>
                <w:szCs w:val="21"/>
                <w:highlight w:val="none"/>
                <w:lang w:val="en-US" w:eastAsia="zh-CN"/>
              </w:rPr>
              <w:t>中试现场</w:t>
            </w:r>
            <w:r>
              <w:rPr>
                <w:rFonts w:hint="eastAsia" w:ascii="Times New Roman" w:hAnsi="Times New Roman" w:eastAsia="宋体" w:cs="Times New Roman"/>
                <w:bCs/>
                <w:color w:val="auto"/>
                <w:sz w:val="21"/>
                <w:szCs w:val="21"/>
                <w:highlight w:val="none"/>
                <w:lang w:eastAsia="zh-CN"/>
              </w:rPr>
              <w:t>设备安装调试。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4</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3.1</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合格评比供应商必须同时满足下述资格条件：</w:t>
            </w:r>
          </w:p>
          <w:p>
            <w:pPr>
              <w:pStyle w:val="22"/>
              <w:numPr>
                <w:ilvl w:val="0"/>
                <w:numId w:val="1"/>
              </w:numPr>
              <w:adjustRightInd w:val="0"/>
              <w:snapToGrid w:val="0"/>
              <w:spacing w:line="440" w:lineRule="exact"/>
              <w:rPr>
                <w:rFonts w:hint="eastAsia" w:ascii="Times New Roman" w:hAnsi="Times New Roman"/>
                <w:color w:val="auto"/>
                <w:sz w:val="21"/>
                <w:szCs w:val="21"/>
                <w:highlight w:val="none"/>
                <w:lang w:val="en-US" w:eastAsia="zh-CN"/>
              </w:rPr>
            </w:pPr>
            <w:r>
              <w:rPr>
                <w:rFonts w:ascii="Times New Roman" w:hAnsi="Times New Roman"/>
                <w:color w:val="auto"/>
                <w:sz w:val="21"/>
                <w:szCs w:val="21"/>
                <w:highlight w:val="none"/>
              </w:rPr>
              <w:t>满足《中华人民共和国政府采购法》第二十二条</w:t>
            </w:r>
            <w:r>
              <w:rPr>
                <w:rFonts w:hint="eastAsia" w:ascii="Times New Roman" w:hAnsi="Times New Roman"/>
                <w:color w:val="auto"/>
                <w:sz w:val="21"/>
                <w:szCs w:val="21"/>
                <w:highlight w:val="none"/>
                <w:lang w:val="en-US" w:eastAsia="zh-CN"/>
              </w:rPr>
              <w:t>规定；</w:t>
            </w:r>
          </w:p>
          <w:p>
            <w:pPr>
              <w:pStyle w:val="22"/>
              <w:numPr>
                <w:ilvl w:val="0"/>
                <w:numId w:val="1"/>
              </w:numPr>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落实政府采购政策需满足的资格要求：无</w:t>
            </w:r>
            <w:r>
              <w:rPr>
                <w:rFonts w:hint="eastAsia" w:ascii="Times New Roman" w:hAnsi="Times New Roman"/>
                <w:color w:val="auto"/>
                <w:sz w:val="21"/>
                <w:szCs w:val="21"/>
                <w:highlight w:val="none"/>
                <w:lang w:eastAsia="zh-CN"/>
              </w:rPr>
              <w:t>；</w:t>
            </w:r>
          </w:p>
          <w:p>
            <w:pPr>
              <w:pStyle w:val="22"/>
              <w:numPr>
                <w:ilvl w:val="0"/>
                <w:numId w:val="1"/>
              </w:numPr>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满足本项目的特定资格要求：</w:t>
            </w:r>
            <w:r>
              <w:rPr>
                <w:rFonts w:hint="eastAsia" w:ascii="Times New Roman" w:hAnsi="Times New Roman"/>
                <w:color w:val="auto"/>
                <w:sz w:val="21"/>
                <w:szCs w:val="21"/>
                <w:highlight w:val="none"/>
                <w:lang w:val="en-US" w:eastAsia="zh-CN"/>
              </w:rPr>
              <w:t>无</w:t>
            </w:r>
            <w:r>
              <w:rPr>
                <w:rFonts w:ascii="Times New Roman" w:hAnsi="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5</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5.1</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现场考察：</w:t>
            </w:r>
            <w:r>
              <w:rPr>
                <w:rFonts w:hint="eastAsia" w:ascii="Times New Roman" w:hAnsi="Times New Roman"/>
                <w:color w:val="auto"/>
                <w:sz w:val="21"/>
                <w:szCs w:val="21"/>
                <w:highlight w:val="none"/>
                <w:lang w:val="en-US" w:eastAsia="zh-CN"/>
              </w:rPr>
              <w:t>/</w:t>
            </w:r>
            <w:r>
              <w:rPr>
                <w:rFonts w:ascii="Times New Roman" w:hAnsi="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6</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7.1</w:t>
            </w:r>
          </w:p>
        </w:tc>
        <w:tc>
          <w:tcPr>
            <w:tcW w:w="8135" w:type="dxa"/>
            <w:tcMar>
              <w:top w:w="57" w:type="dxa"/>
              <w:bottom w:w="57" w:type="dxa"/>
            </w:tcMar>
            <w:vAlign w:val="center"/>
          </w:tcPr>
          <w:p>
            <w:pPr>
              <w:pStyle w:val="22"/>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评比文件澄清截止时间：评比响应文件递交截止时间3日之前。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7</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11.1</w:t>
            </w:r>
          </w:p>
        </w:tc>
        <w:tc>
          <w:tcPr>
            <w:tcW w:w="8135" w:type="dxa"/>
            <w:tcMar>
              <w:top w:w="57" w:type="dxa"/>
              <w:bottom w:w="57" w:type="dxa"/>
            </w:tcMar>
            <w:vAlign w:val="center"/>
          </w:tcPr>
          <w:p>
            <w:pPr>
              <w:pStyle w:val="22"/>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评比有效期：自评比响应文件递交截止之日起算90日历日。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8</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12.1</w:t>
            </w:r>
          </w:p>
        </w:tc>
        <w:tc>
          <w:tcPr>
            <w:tcW w:w="8135" w:type="dxa"/>
            <w:tcMar>
              <w:top w:w="57" w:type="dxa"/>
              <w:bottom w:w="57" w:type="dxa"/>
            </w:tcMar>
            <w:vAlign w:val="center"/>
          </w:tcPr>
          <w:p>
            <w:pPr>
              <w:autoSpaceDE w:val="0"/>
              <w:autoSpaceDN w:val="0"/>
              <w:adjustRightInd w:val="0"/>
              <w:snapToGrid w:val="0"/>
              <w:spacing w:after="120"/>
              <w:rPr>
                <w:color w:val="auto"/>
                <w:szCs w:val="21"/>
                <w:highlight w:val="none"/>
              </w:rPr>
            </w:pPr>
            <w:r>
              <w:rPr>
                <w:color w:val="auto"/>
                <w:szCs w:val="21"/>
                <w:highlight w:val="none"/>
              </w:rPr>
              <w:t>评比保证金：无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9</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13.1</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评比响应文件的份数：</w:t>
            </w:r>
            <w:r>
              <w:rPr>
                <w:rFonts w:ascii="Times New Roman" w:hAnsi="Times New Roman"/>
                <w:b/>
                <w:color w:val="auto"/>
                <w:sz w:val="21"/>
                <w:szCs w:val="21"/>
                <w:highlight w:val="none"/>
              </w:rPr>
              <w:t>纸质文件正本1份，副本2份，电子版1份（推荐采用光盘或U盘为电子文档载体）。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10</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15.1</w:t>
            </w:r>
          </w:p>
        </w:tc>
        <w:tc>
          <w:tcPr>
            <w:tcW w:w="8135" w:type="dxa"/>
            <w:tcMar>
              <w:top w:w="57" w:type="dxa"/>
              <w:bottom w:w="57" w:type="dxa"/>
            </w:tcMar>
            <w:vAlign w:val="center"/>
          </w:tcPr>
          <w:p>
            <w:pPr>
              <w:adjustRightInd w:val="0"/>
              <w:snapToGrid w:val="0"/>
              <w:spacing w:line="440" w:lineRule="exact"/>
              <w:rPr>
                <w:color w:val="auto"/>
                <w:szCs w:val="21"/>
                <w:highlight w:val="none"/>
              </w:rPr>
            </w:pPr>
            <w:r>
              <w:rPr>
                <w:color w:val="auto"/>
                <w:szCs w:val="21"/>
                <w:highlight w:val="none"/>
              </w:rPr>
              <w:t>评比响应文件递交截止时间：202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9</w:t>
            </w:r>
            <w:r>
              <w:rPr>
                <w:color w:val="auto"/>
                <w:szCs w:val="21"/>
                <w:highlight w:val="none"/>
              </w:rPr>
              <w:t>日</w:t>
            </w:r>
            <w:r>
              <w:rPr>
                <w:rFonts w:hint="eastAsia"/>
                <w:color w:val="auto"/>
                <w:szCs w:val="21"/>
                <w:highlight w:val="none"/>
                <w:lang w:val="en-US" w:eastAsia="zh-CN"/>
              </w:rPr>
              <w:t>下</w:t>
            </w:r>
            <w:r>
              <w:rPr>
                <w:color w:val="auto"/>
                <w:szCs w:val="21"/>
                <w:highlight w:val="none"/>
              </w:rPr>
              <w:t>午1</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3</w:t>
            </w:r>
            <w:r>
              <w:rPr>
                <w:color w:val="auto"/>
                <w:szCs w:val="21"/>
                <w:highlight w:val="none"/>
              </w:rPr>
              <w:t>0（北京时间）</w:t>
            </w:r>
          </w:p>
          <w:p>
            <w:pPr>
              <w:adjustRightInd w:val="0"/>
              <w:snapToGrid w:val="0"/>
              <w:spacing w:line="440" w:lineRule="exact"/>
              <w:rPr>
                <w:color w:val="auto"/>
                <w:szCs w:val="21"/>
                <w:highlight w:val="none"/>
              </w:rPr>
            </w:pPr>
            <w:r>
              <w:rPr>
                <w:color w:val="auto"/>
                <w:szCs w:val="21"/>
                <w:highlight w:val="none"/>
              </w:rPr>
              <w:t>评比响应文件递交地点：重庆市渝中区双钢路1号8号楼1楼（重庆赛迪工程咨询有限公司会议中心）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11</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18.1</w:t>
            </w:r>
          </w:p>
        </w:tc>
        <w:tc>
          <w:tcPr>
            <w:tcW w:w="8135" w:type="dxa"/>
            <w:tcMar>
              <w:top w:w="57" w:type="dxa"/>
              <w:bottom w:w="57" w:type="dxa"/>
            </w:tcMar>
            <w:vAlign w:val="center"/>
          </w:tcPr>
          <w:p>
            <w:pPr>
              <w:adjustRightInd w:val="0"/>
              <w:snapToGrid w:val="0"/>
              <w:spacing w:line="440" w:lineRule="exact"/>
              <w:rPr>
                <w:color w:val="auto"/>
                <w:szCs w:val="21"/>
                <w:highlight w:val="none"/>
              </w:rPr>
            </w:pPr>
            <w:r>
              <w:rPr>
                <w:color w:val="auto"/>
                <w:szCs w:val="21"/>
                <w:highlight w:val="none"/>
              </w:rPr>
              <w:t>评比时间：202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9</w:t>
            </w:r>
            <w:r>
              <w:rPr>
                <w:color w:val="auto"/>
                <w:szCs w:val="21"/>
                <w:highlight w:val="none"/>
              </w:rPr>
              <w:t>日</w:t>
            </w:r>
            <w:r>
              <w:rPr>
                <w:rFonts w:hint="eastAsia"/>
                <w:color w:val="auto"/>
                <w:szCs w:val="21"/>
                <w:highlight w:val="none"/>
                <w:lang w:val="en-US" w:eastAsia="zh-CN"/>
              </w:rPr>
              <w:t>下</w:t>
            </w:r>
            <w:r>
              <w:rPr>
                <w:color w:val="auto"/>
                <w:szCs w:val="21"/>
                <w:highlight w:val="none"/>
              </w:rPr>
              <w:t>午</w:t>
            </w:r>
            <w:r>
              <w:rPr>
                <w:rFonts w:hint="eastAsia"/>
                <w:color w:val="auto"/>
                <w:szCs w:val="21"/>
                <w:highlight w:val="none"/>
                <w:lang w:val="en-US" w:eastAsia="zh-CN"/>
              </w:rPr>
              <w:t>14</w:t>
            </w:r>
            <w:r>
              <w:rPr>
                <w:color w:val="auto"/>
                <w:szCs w:val="21"/>
                <w:highlight w:val="none"/>
              </w:rPr>
              <w:t>:</w:t>
            </w:r>
            <w:r>
              <w:rPr>
                <w:rFonts w:hint="eastAsia"/>
                <w:color w:val="auto"/>
                <w:szCs w:val="21"/>
                <w:highlight w:val="none"/>
                <w:lang w:val="en-US" w:eastAsia="zh-CN"/>
              </w:rPr>
              <w:t>3</w:t>
            </w:r>
            <w:r>
              <w:rPr>
                <w:color w:val="auto"/>
                <w:szCs w:val="21"/>
                <w:highlight w:val="none"/>
              </w:rPr>
              <w:t>0（北京时间）</w:t>
            </w:r>
          </w:p>
          <w:p>
            <w:pPr>
              <w:adjustRightInd w:val="0"/>
              <w:snapToGrid w:val="0"/>
              <w:spacing w:line="440" w:lineRule="exact"/>
              <w:rPr>
                <w:color w:val="auto"/>
                <w:szCs w:val="21"/>
                <w:highlight w:val="none"/>
              </w:rPr>
            </w:pPr>
            <w:r>
              <w:rPr>
                <w:color w:val="auto"/>
                <w:szCs w:val="21"/>
                <w:highlight w:val="none"/>
              </w:rPr>
              <w:t>评比地点：重庆市渝中区双钢路1号8号楼1楼（重庆赛迪工程咨询有限公司会议中心）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12</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23.1</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评审办法：综合评分法。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13</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代理服务费计算</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按“计价格[2002]1980号”、“发改价格[2011]534号”文件所列的“货物类”收费标准按差额累进方式计算。由成交供应商在领取成交通知书时向采购代理机构一次性支付。</w:t>
            </w:r>
          </w:p>
          <w:p>
            <w:pPr>
              <w:snapToGrid w:val="0"/>
              <w:spacing w:line="440" w:lineRule="exact"/>
              <w:ind w:firstLine="420" w:firstLineChars="200"/>
              <w:rPr>
                <w:color w:val="auto"/>
                <w:szCs w:val="21"/>
                <w:highlight w:val="none"/>
              </w:rPr>
            </w:pPr>
            <w:r>
              <w:rPr>
                <w:color w:val="auto"/>
                <w:szCs w:val="21"/>
                <w:highlight w:val="none"/>
              </w:rPr>
              <w:t>户 名：重庆赛迪工程咨询有限公司</w:t>
            </w:r>
          </w:p>
          <w:p>
            <w:pPr>
              <w:snapToGrid w:val="0"/>
              <w:spacing w:line="440" w:lineRule="exact"/>
              <w:ind w:firstLine="420" w:firstLineChars="200"/>
              <w:rPr>
                <w:color w:val="auto"/>
                <w:szCs w:val="21"/>
                <w:highlight w:val="none"/>
              </w:rPr>
            </w:pPr>
            <w:r>
              <w:rPr>
                <w:color w:val="auto"/>
                <w:szCs w:val="21"/>
                <w:highlight w:val="none"/>
              </w:rPr>
              <w:t>开户行：中国工商银行重庆大溪沟支行</w:t>
            </w:r>
          </w:p>
          <w:p>
            <w:pPr>
              <w:snapToGrid w:val="0"/>
              <w:spacing w:line="440" w:lineRule="exact"/>
              <w:ind w:firstLine="420" w:firstLineChars="200"/>
              <w:rPr>
                <w:color w:val="auto"/>
                <w:szCs w:val="21"/>
                <w:highlight w:val="none"/>
              </w:rPr>
            </w:pPr>
            <w:r>
              <w:rPr>
                <w:color w:val="auto"/>
                <w:szCs w:val="21"/>
                <w:highlight w:val="none"/>
              </w:rPr>
              <w:t>账 号：3100021409024809491</w:t>
            </w:r>
          </w:p>
          <w:p>
            <w:pPr>
              <w:snapToGrid w:val="0"/>
              <w:spacing w:line="440" w:lineRule="exact"/>
              <w:ind w:firstLine="420" w:firstLineChars="200"/>
              <w:rPr>
                <w:color w:val="auto"/>
                <w:szCs w:val="21"/>
                <w:highlight w:val="none"/>
              </w:rPr>
            </w:pPr>
            <w:r>
              <w:rPr>
                <w:color w:val="auto"/>
                <w:szCs w:val="21"/>
                <w:highlight w:val="none"/>
              </w:rPr>
              <w:t>银行联行号：102653000064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14</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报价要求</w:t>
            </w:r>
          </w:p>
        </w:tc>
        <w:tc>
          <w:tcPr>
            <w:tcW w:w="8135" w:type="dxa"/>
            <w:tcMar>
              <w:top w:w="57" w:type="dxa"/>
              <w:bottom w:w="57" w:type="dxa"/>
            </w:tcMar>
            <w:vAlign w:val="center"/>
          </w:tcPr>
          <w:p>
            <w:pPr>
              <w:snapToGrid w:val="0"/>
              <w:spacing w:line="440" w:lineRule="exact"/>
              <w:ind w:firstLine="420" w:firstLineChars="200"/>
              <w:rPr>
                <w:color w:val="auto"/>
                <w:szCs w:val="21"/>
                <w:highlight w:val="none"/>
              </w:rPr>
            </w:pPr>
            <w:r>
              <w:rPr>
                <w:color w:val="auto"/>
                <w:szCs w:val="21"/>
                <w:highlight w:val="none"/>
              </w:rPr>
              <w:t>本次报价须为人民币包干报价</w:t>
            </w:r>
            <w:bookmarkStart w:id="6" w:name="_Hlk531684175"/>
            <w:r>
              <w:rPr>
                <w:color w:val="auto"/>
                <w:szCs w:val="21"/>
                <w:highlight w:val="none"/>
              </w:rPr>
              <w:t>。供应商的评比报价应为产品送达采购人指定地点，安装调试完成且最终验收合格，以及包含质保期内的所有费用的总和，包括但不限于设备出厂价、人工费、运输费（含装卸费）、保险、安装、架设、调试、检测、验收、质保期售后、操作培训、技术服务、质保期内备品备件、专用工具、专有技术使用（转让）和专利技术使用费（若有）、采购代理服务费、企业管理费、企业利润、企业税金，以及一切可预见和不可预见的、合同明示或暗示的应由供应商承担的一切责任、义务和风险费用等。</w:t>
            </w:r>
            <w:bookmarkEnd w:id="6"/>
            <w:r>
              <w:rPr>
                <w:color w:val="auto"/>
                <w:szCs w:val="21"/>
                <w:highlight w:val="none"/>
              </w:rPr>
              <w:t>供应商在评比报价时应充分考虑承担本项目的所有风险因素，任何因自身原因造成漏报、少报的费用，均由供应商自行承担，合同履行期间合同价格不因其他任何因素变化（如市场因素、国家政策因素等）而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bookmarkStart w:id="7" w:name="_Toc10213427"/>
            <w:bookmarkStart w:id="8" w:name="_Toc68963461"/>
            <w:r>
              <w:rPr>
                <w:rFonts w:ascii="Times New Roman" w:hAnsi="Times New Roman"/>
                <w:color w:val="auto"/>
                <w:sz w:val="21"/>
                <w:szCs w:val="21"/>
                <w:highlight w:val="none"/>
              </w:rPr>
              <w:t>15</w:t>
            </w:r>
          </w:p>
        </w:tc>
        <w:tc>
          <w:tcPr>
            <w:tcW w:w="985" w:type="dxa"/>
            <w:tcMar>
              <w:top w:w="57" w:type="dxa"/>
              <w:bottom w:w="57" w:type="dxa"/>
            </w:tcMar>
            <w:vAlign w:val="center"/>
          </w:tcPr>
          <w:p>
            <w:pPr>
              <w:pStyle w:val="22"/>
              <w:adjustRightInd w:val="0"/>
              <w:snapToGrid w:val="0"/>
              <w:spacing w:line="400" w:lineRule="exact"/>
              <w:jc w:val="center"/>
              <w:rPr>
                <w:rFonts w:ascii="Times New Roman" w:hAnsi="Times New Roman"/>
                <w:color w:val="auto"/>
                <w:sz w:val="21"/>
                <w:szCs w:val="21"/>
                <w:highlight w:val="none"/>
              </w:rPr>
            </w:pPr>
            <w:r>
              <w:rPr>
                <w:rFonts w:ascii="Times New Roman" w:hAnsi="Times New Roman"/>
                <w:color w:val="auto"/>
                <w:sz w:val="21"/>
                <w:szCs w:val="21"/>
                <w:highlight w:val="none"/>
              </w:rPr>
              <w:t>付款方式</w:t>
            </w:r>
          </w:p>
        </w:tc>
        <w:tc>
          <w:tcPr>
            <w:tcW w:w="8135" w:type="dxa"/>
            <w:tcMar>
              <w:top w:w="57" w:type="dxa"/>
              <w:bottom w:w="57" w:type="dxa"/>
            </w:tcMar>
            <w:vAlign w:val="center"/>
          </w:tcPr>
          <w:p>
            <w:pPr>
              <w:pStyle w:val="11"/>
              <w:keepNext w:val="0"/>
              <w:keepLines w:val="0"/>
              <w:pageBreakBefore w:val="0"/>
              <w:widowControl/>
              <w:kinsoku/>
              <w:wordWrap/>
              <w:overflowPunct/>
              <w:topLinePunct w:val="0"/>
              <w:autoSpaceDE/>
              <w:autoSpaceDN/>
              <w:bidi w:val="0"/>
              <w:spacing w:line="440" w:lineRule="exact"/>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采购合同签订前，成交供应商按合同总价款的5%向采购人缴纳履约保证金（以支票、汇票、本票或者金融机构、担保机构出具的保函等非现金形式提交）；</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本项目合同签定后20个工作日内，成交供应商向采购人提交申请，采购人以转账方式向成交供应商支付合同总额的30%作为预付款；设备生产完成供方单位提供调试</w:t>
            </w:r>
            <w:r>
              <w:rPr>
                <w:rFonts w:hint="eastAsia" w:cs="Times New Roman"/>
                <w:color w:val="auto"/>
                <w:kern w:val="2"/>
                <w:sz w:val="21"/>
                <w:szCs w:val="21"/>
                <w:highlight w:val="none"/>
                <w:lang w:val="en-US" w:eastAsia="zh-CN" w:bidi="ar-SA"/>
              </w:rPr>
              <w:t>视频</w:t>
            </w:r>
            <w:r>
              <w:rPr>
                <w:rFonts w:hint="eastAsia" w:ascii="Times New Roman" w:hAnsi="Times New Roman" w:eastAsia="宋体" w:cs="Times New Roman"/>
                <w:color w:val="auto"/>
                <w:kern w:val="2"/>
                <w:sz w:val="21"/>
                <w:szCs w:val="21"/>
                <w:highlight w:val="none"/>
                <w:lang w:val="en-US" w:eastAsia="zh-CN" w:bidi="ar-SA"/>
              </w:rPr>
              <w:t>（需方可以参与），供方调试合格后</w:t>
            </w:r>
            <w:r>
              <w:rPr>
                <w:rFonts w:hint="eastAsia" w:cs="Times New Roman"/>
                <w:color w:val="auto"/>
                <w:kern w:val="2"/>
                <w:sz w:val="21"/>
                <w:szCs w:val="21"/>
                <w:highlight w:val="none"/>
                <w:lang w:val="en-US" w:eastAsia="zh-CN" w:bidi="ar-SA"/>
              </w:rPr>
              <w:t>，在</w:t>
            </w:r>
            <w:r>
              <w:rPr>
                <w:rFonts w:hint="eastAsia" w:ascii="Times New Roman" w:hAnsi="Times New Roman" w:eastAsia="宋体" w:cs="Times New Roman"/>
                <w:color w:val="auto"/>
                <w:kern w:val="2"/>
                <w:sz w:val="21"/>
                <w:szCs w:val="21"/>
                <w:highlight w:val="none"/>
                <w:lang w:val="en-US" w:eastAsia="zh-CN" w:bidi="ar-SA"/>
              </w:rPr>
              <w:t>发货前</w:t>
            </w:r>
            <w:r>
              <w:rPr>
                <w:rFonts w:hint="eastAsia" w:cs="Times New Roman"/>
                <w:color w:val="auto"/>
                <w:kern w:val="2"/>
                <w:sz w:val="21"/>
                <w:szCs w:val="21"/>
                <w:highlight w:val="none"/>
                <w:lang w:val="en-US" w:eastAsia="zh-CN" w:bidi="ar-SA"/>
              </w:rPr>
              <w:t>支付</w:t>
            </w:r>
            <w:r>
              <w:rPr>
                <w:rFonts w:hint="eastAsia" w:ascii="Times New Roman" w:hAnsi="Times New Roman" w:eastAsia="宋体" w:cs="Times New Roman"/>
                <w:color w:val="auto"/>
                <w:kern w:val="2"/>
                <w:sz w:val="21"/>
                <w:szCs w:val="21"/>
                <w:highlight w:val="none"/>
                <w:lang w:val="en-US" w:eastAsia="zh-CN" w:bidi="ar-SA"/>
              </w:rPr>
              <w:t>50%货款，设备在需方单位完成</w:t>
            </w:r>
            <w:r>
              <w:rPr>
                <w:rFonts w:hint="eastAsia" w:cs="Times New Roman"/>
                <w:color w:val="auto"/>
                <w:kern w:val="2"/>
                <w:sz w:val="21"/>
                <w:szCs w:val="21"/>
                <w:highlight w:val="none"/>
                <w:lang w:val="en-US" w:eastAsia="zh-CN" w:bidi="ar-SA"/>
              </w:rPr>
              <w:t>安装</w:t>
            </w:r>
            <w:r>
              <w:rPr>
                <w:rFonts w:hint="eastAsia" w:ascii="Times New Roman" w:hAnsi="Times New Roman" w:eastAsia="宋体" w:cs="Times New Roman"/>
                <w:color w:val="auto"/>
                <w:kern w:val="2"/>
                <w:sz w:val="21"/>
                <w:szCs w:val="21"/>
                <w:highlight w:val="none"/>
                <w:lang w:val="en-US" w:eastAsia="zh-CN" w:bidi="ar-SA"/>
              </w:rPr>
              <w:t>调试</w:t>
            </w:r>
            <w:r>
              <w:rPr>
                <w:rFonts w:hint="eastAsia" w:cs="Times New Roman"/>
                <w:color w:val="auto"/>
                <w:kern w:val="2"/>
                <w:sz w:val="21"/>
                <w:szCs w:val="21"/>
                <w:highlight w:val="none"/>
                <w:lang w:val="en-US" w:eastAsia="zh-CN" w:bidi="ar-SA"/>
              </w:rPr>
              <w:t>，验收合格</w:t>
            </w:r>
            <w:r>
              <w:rPr>
                <w:rFonts w:hint="eastAsia" w:ascii="Times New Roman" w:hAnsi="Times New Roman" w:eastAsia="宋体" w:cs="Times New Roman"/>
                <w:color w:val="auto"/>
                <w:kern w:val="2"/>
                <w:sz w:val="21"/>
                <w:szCs w:val="21"/>
                <w:highlight w:val="none"/>
                <w:lang w:val="en-US" w:eastAsia="zh-CN" w:bidi="ar-SA"/>
              </w:rPr>
              <w:t>后支付15%货款，余款5%</w:t>
            </w:r>
            <w:r>
              <w:rPr>
                <w:rFonts w:hint="eastAsia" w:cs="Times New Roman"/>
                <w:color w:val="auto"/>
                <w:kern w:val="2"/>
                <w:sz w:val="21"/>
                <w:szCs w:val="21"/>
                <w:highlight w:val="none"/>
                <w:lang w:val="en-US" w:eastAsia="zh-CN" w:bidi="ar-SA"/>
              </w:rPr>
              <w:t>在</w:t>
            </w:r>
            <w:r>
              <w:rPr>
                <w:rFonts w:hint="eastAsia" w:ascii="Times New Roman" w:hAnsi="Times New Roman" w:eastAsia="宋体" w:cs="Times New Roman"/>
                <w:color w:val="auto"/>
                <w:kern w:val="2"/>
                <w:sz w:val="21"/>
                <w:szCs w:val="21"/>
                <w:highlight w:val="none"/>
                <w:lang w:val="en-US" w:eastAsia="zh-CN" w:bidi="ar-SA"/>
              </w:rPr>
              <w:t>质保期</w:t>
            </w:r>
            <w:r>
              <w:rPr>
                <w:rFonts w:hint="eastAsia" w:cs="Times New Roman"/>
                <w:color w:val="auto"/>
                <w:kern w:val="2"/>
                <w:sz w:val="21"/>
                <w:szCs w:val="21"/>
                <w:highlight w:val="none"/>
                <w:lang w:val="en-US" w:eastAsia="zh-CN" w:bidi="ar-SA"/>
              </w:rPr>
              <w:t>结束</w:t>
            </w:r>
            <w:r>
              <w:rPr>
                <w:rFonts w:hint="eastAsia" w:ascii="Times New Roman" w:hAnsi="Times New Roman" w:eastAsia="宋体" w:cs="Times New Roman"/>
                <w:color w:val="auto"/>
                <w:kern w:val="2"/>
                <w:sz w:val="21"/>
                <w:szCs w:val="21"/>
                <w:highlight w:val="none"/>
                <w:lang w:val="en-US" w:eastAsia="zh-CN" w:bidi="ar-SA"/>
              </w:rPr>
              <w:t>后10个工作日内付清</w:t>
            </w:r>
            <w:r>
              <w:rPr>
                <w:rFonts w:ascii="Times New Roman" w:hAnsi="Times New Roman" w:eastAsia="宋体" w:cs="Times New Roman"/>
                <w:color w:val="auto"/>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color w:val="auto"/>
                <w:szCs w:val="21"/>
                <w:highlight w:val="none"/>
              </w:rPr>
            </w:pPr>
            <w:r>
              <w:rPr>
                <w:color w:val="auto"/>
                <w:szCs w:val="21"/>
                <w:highlight w:val="none"/>
              </w:rPr>
              <w:t>注：采购合同使用货币币制如未作特别说明均为人民币。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16</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知识产权</w:t>
            </w:r>
          </w:p>
        </w:tc>
        <w:tc>
          <w:tcPr>
            <w:tcW w:w="8135" w:type="dxa"/>
            <w:tcMar>
              <w:top w:w="57" w:type="dxa"/>
              <w:bottom w:w="57" w:type="dxa"/>
            </w:tcMar>
            <w:vAlign w:val="center"/>
          </w:tcPr>
          <w:p>
            <w:pPr>
              <w:pStyle w:val="22"/>
              <w:adjustRightInd w:val="0"/>
              <w:snapToGrid w:val="0"/>
              <w:spacing w:line="44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采购人在中华人民共和国境内使用供应商提供的货物及服务时免受第三方提出的侵犯其专利权或其它知识产权的起诉。如果第三方提出侵权指控，供应商应承担由此而引起的一切法律责任和费用。</w:t>
            </w:r>
          </w:p>
          <w:p>
            <w:pPr>
              <w:pStyle w:val="22"/>
              <w:adjustRightInd w:val="0"/>
              <w:snapToGrid w:val="0"/>
              <w:spacing w:line="44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涉及软件开发等服务类项目知识产权的，知识产权归采购人所有。</w:t>
            </w:r>
          </w:p>
          <w:p>
            <w:pPr>
              <w:pStyle w:val="22"/>
              <w:adjustRightInd w:val="0"/>
              <w:snapToGrid w:val="0"/>
              <w:spacing w:line="44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供应商不得泄露采购人所提供的属于国家秘密的信息和数据；未经采购人书面许可，不得使用或者以其他方式给任何第三方提供本项目的相关信息和数据。</w:t>
            </w:r>
          </w:p>
        </w:tc>
      </w:tr>
    </w:tbl>
    <w:p>
      <w:pPr>
        <w:pStyle w:val="3"/>
        <w:spacing w:line="480" w:lineRule="auto"/>
        <w:rPr>
          <w:rFonts w:ascii="Times New Roman" w:hAnsi="Times New Roman" w:eastAsia="宋体"/>
          <w:color w:val="auto"/>
          <w:sz w:val="28"/>
          <w:szCs w:val="28"/>
          <w:highlight w:val="none"/>
        </w:rPr>
      </w:pPr>
    </w:p>
    <w:p>
      <w:pPr>
        <w:rPr>
          <w:color w:val="auto"/>
          <w:sz w:val="28"/>
          <w:szCs w:val="28"/>
          <w:highlight w:val="none"/>
        </w:rPr>
      </w:pPr>
      <w:r>
        <w:rPr>
          <w:color w:val="auto"/>
          <w:sz w:val="28"/>
          <w:szCs w:val="28"/>
          <w:highlight w:val="none"/>
        </w:rPr>
        <w:br w:type="page"/>
      </w:r>
    </w:p>
    <w:p>
      <w:pPr>
        <w:pStyle w:val="3"/>
        <w:spacing w:line="480" w:lineRule="auto"/>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一、总  则</w:t>
      </w:r>
      <w:bookmarkEnd w:id="7"/>
      <w:bookmarkEnd w:id="8"/>
    </w:p>
    <w:p>
      <w:pPr>
        <w:numPr>
          <w:ilvl w:val="0"/>
          <w:numId w:val="2"/>
        </w:numPr>
        <w:adjustRightInd w:val="0"/>
        <w:snapToGrid w:val="0"/>
        <w:spacing w:line="440" w:lineRule="exact"/>
        <w:rPr>
          <w:b/>
          <w:bCs/>
          <w:color w:val="auto"/>
          <w:szCs w:val="21"/>
          <w:highlight w:val="none"/>
        </w:rPr>
      </w:pPr>
      <w:r>
        <w:rPr>
          <w:b/>
          <w:bCs/>
          <w:color w:val="auto"/>
          <w:szCs w:val="21"/>
          <w:highlight w:val="none"/>
        </w:rPr>
        <w:t>概述</w:t>
      </w:r>
    </w:p>
    <w:p>
      <w:pPr>
        <w:numPr>
          <w:ilvl w:val="1"/>
          <w:numId w:val="3"/>
        </w:numPr>
        <w:adjustRightInd w:val="0"/>
        <w:snapToGrid w:val="0"/>
        <w:spacing w:line="440" w:lineRule="exact"/>
        <w:rPr>
          <w:color w:val="auto"/>
          <w:szCs w:val="21"/>
          <w:highlight w:val="none"/>
        </w:rPr>
      </w:pPr>
      <w:r>
        <w:rPr>
          <w:color w:val="auto"/>
          <w:szCs w:val="21"/>
          <w:highlight w:val="none"/>
        </w:rPr>
        <w:t>适用范围：本评比文件仅适用于第一章“评比邀请书”中所述项目。</w:t>
      </w:r>
    </w:p>
    <w:p>
      <w:pPr>
        <w:numPr>
          <w:ilvl w:val="1"/>
          <w:numId w:val="3"/>
        </w:numPr>
        <w:adjustRightInd w:val="0"/>
        <w:snapToGrid w:val="0"/>
        <w:spacing w:line="440" w:lineRule="exact"/>
        <w:rPr>
          <w:color w:val="auto"/>
          <w:szCs w:val="21"/>
          <w:highlight w:val="none"/>
        </w:rPr>
      </w:pPr>
      <w:r>
        <w:rPr>
          <w:color w:val="auto"/>
          <w:szCs w:val="21"/>
          <w:highlight w:val="none"/>
        </w:rPr>
        <w:t>定义：</w:t>
      </w:r>
    </w:p>
    <w:p>
      <w:pPr>
        <w:adjustRightInd w:val="0"/>
        <w:snapToGrid w:val="0"/>
        <w:spacing w:line="440" w:lineRule="exact"/>
        <w:rPr>
          <w:color w:val="auto"/>
          <w:szCs w:val="21"/>
          <w:highlight w:val="none"/>
        </w:rPr>
      </w:pPr>
      <w:r>
        <w:rPr>
          <w:color w:val="auto"/>
          <w:szCs w:val="21"/>
          <w:highlight w:val="none"/>
        </w:rPr>
        <w:t>1.2.1本项目：系指</w:t>
      </w:r>
      <w:r>
        <w:rPr>
          <w:rFonts w:hint="eastAsia"/>
          <w:color w:val="auto"/>
          <w:szCs w:val="21"/>
          <w:highlight w:val="none"/>
          <w:lang w:eastAsia="zh-CN"/>
        </w:rPr>
        <w:t>哈尔滨工业大学重庆研究院智能化层析分离中试系统采购项目</w:t>
      </w:r>
      <w:r>
        <w:rPr>
          <w:color w:val="auto"/>
          <w:szCs w:val="21"/>
          <w:highlight w:val="none"/>
        </w:rPr>
        <w:t>。</w:t>
      </w:r>
    </w:p>
    <w:p>
      <w:pPr>
        <w:adjustRightInd w:val="0"/>
        <w:snapToGrid w:val="0"/>
        <w:spacing w:line="440" w:lineRule="exact"/>
        <w:rPr>
          <w:color w:val="auto"/>
          <w:szCs w:val="21"/>
          <w:highlight w:val="none"/>
        </w:rPr>
      </w:pPr>
      <w:r>
        <w:rPr>
          <w:color w:val="auto"/>
          <w:szCs w:val="21"/>
          <w:highlight w:val="none"/>
        </w:rPr>
        <w:t>1.2.2采购人：系指</w:t>
      </w:r>
      <w:r>
        <w:rPr>
          <w:rFonts w:hint="eastAsia"/>
          <w:color w:val="auto"/>
          <w:szCs w:val="21"/>
          <w:highlight w:val="none"/>
          <w:lang w:eastAsia="zh-CN"/>
        </w:rPr>
        <w:t>哈尔滨工业大学重庆研究院</w:t>
      </w:r>
      <w:r>
        <w:rPr>
          <w:color w:val="auto"/>
          <w:szCs w:val="21"/>
          <w:highlight w:val="none"/>
        </w:rPr>
        <w:t>。</w:t>
      </w:r>
    </w:p>
    <w:p>
      <w:pPr>
        <w:adjustRightInd w:val="0"/>
        <w:snapToGrid w:val="0"/>
        <w:spacing w:line="440" w:lineRule="exact"/>
        <w:rPr>
          <w:color w:val="auto"/>
          <w:szCs w:val="21"/>
          <w:highlight w:val="none"/>
        </w:rPr>
      </w:pPr>
      <w:r>
        <w:rPr>
          <w:color w:val="auto"/>
          <w:szCs w:val="21"/>
          <w:highlight w:val="none"/>
        </w:rPr>
        <w:t>1.3  交货地点：采购人指定地点（重庆）</w:t>
      </w:r>
    </w:p>
    <w:p>
      <w:pPr>
        <w:adjustRightInd w:val="0"/>
        <w:snapToGrid w:val="0"/>
        <w:spacing w:line="440" w:lineRule="exact"/>
        <w:rPr>
          <w:color w:val="auto"/>
          <w:szCs w:val="21"/>
          <w:highlight w:val="none"/>
        </w:rPr>
      </w:pPr>
      <w:r>
        <w:rPr>
          <w:color w:val="auto"/>
          <w:szCs w:val="21"/>
          <w:highlight w:val="none"/>
        </w:rPr>
        <w:t>1.4  交货时间：满足本须知前附表中第</w:t>
      </w:r>
      <w:r>
        <w:rPr>
          <w:b/>
          <w:color w:val="auto"/>
          <w:szCs w:val="21"/>
          <w:highlight w:val="none"/>
          <w:u w:val="single"/>
        </w:rPr>
        <w:t>3</w:t>
      </w:r>
      <w:r>
        <w:rPr>
          <w:color w:val="auto"/>
          <w:szCs w:val="21"/>
          <w:highlight w:val="none"/>
        </w:rPr>
        <w:t>项</w:t>
      </w:r>
    </w:p>
    <w:p>
      <w:pPr>
        <w:numPr>
          <w:ilvl w:val="0"/>
          <w:numId w:val="2"/>
        </w:numPr>
        <w:adjustRightInd w:val="0"/>
        <w:snapToGrid w:val="0"/>
        <w:spacing w:line="440" w:lineRule="exact"/>
        <w:rPr>
          <w:b/>
          <w:bCs/>
          <w:color w:val="auto"/>
          <w:szCs w:val="21"/>
          <w:highlight w:val="none"/>
        </w:rPr>
      </w:pPr>
      <w:r>
        <w:rPr>
          <w:b/>
          <w:bCs/>
          <w:color w:val="auto"/>
          <w:szCs w:val="21"/>
          <w:highlight w:val="none"/>
        </w:rPr>
        <w:t>评比范围</w:t>
      </w:r>
    </w:p>
    <w:p>
      <w:pPr>
        <w:adjustRightInd w:val="0"/>
        <w:snapToGrid w:val="0"/>
        <w:spacing w:line="440" w:lineRule="exact"/>
        <w:rPr>
          <w:b/>
          <w:bCs/>
          <w:color w:val="auto"/>
          <w:szCs w:val="21"/>
          <w:highlight w:val="none"/>
        </w:rPr>
      </w:pPr>
      <w:r>
        <w:rPr>
          <w:bCs/>
          <w:color w:val="auto"/>
          <w:szCs w:val="21"/>
          <w:highlight w:val="none"/>
        </w:rPr>
        <w:t>2.1</w:t>
      </w:r>
      <w:r>
        <w:rPr>
          <w:color w:val="auto"/>
          <w:szCs w:val="21"/>
          <w:highlight w:val="none"/>
        </w:rPr>
        <w:t>详见第四章</w:t>
      </w:r>
      <w:r>
        <w:rPr>
          <w:bCs/>
          <w:color w:val="auto"/>
          <w:kern w:val="44"/>
          <w:szCs w:val="21"/>
          <w:highlight w:val="none"/>
        </w:rPr>
        <w:t>技术服务需求及说明。</w:t>
      </w:r>
    </w:p>
    <w:p>
      <w:pPr>
        <w:numPr>
          <w:ilvl w:val="0"/>
          <w:numId w:val="2"/>
        </w:numPr>
        <w:adjustRightInd w:val="0"/>
        <w:snapToGrid w:val="0"/>
        <w:spacing w:line="440" w:lineRule="exact"/>
        <w:rPr>
          <w:b/>
          <w:bCs/>
          <w:color w:val="auto"/>
          <w:szCs w:val="21"/>
          <w:highlight w:val="none"/>
        </w:rPr>
      </w:pPr>
      <w:bookmarkStart w:id="9" w:name="_Toc23613344"/>
      <w:r>
        <w:rPr>
          <w:b/>
          <w:bCs/>
          <w:color w:val="auto"/>
          <w:szCs w:val="21"/>
          <w:highlight w:val="none"/>
        </w:rPr>
        <w:t>评比供应商的资格</w:t>
      </w:r>
      <w:bookmarkEnd w:id="9"/>
    </w:p>
    <w:p>
      <w:pPr>
        <w:adjustRightInd w:val="0"/>
        <w:snapToGrid w:val="0"/>
        <w:spacing w:line="440" w:lineRule="exact"/>
        <w:ind w:left="372" w:hanging="371" w:hangingChars="177"/>
        <w:rPr>
          <w:color w:val="auto"/>
          <w:szCs w:val="21"/>
          <w:highlight w:val="none"/>
        </w:rPr>
      </w:pPr>
      <w:r>
        <w:rPr>
          <w:color w:val="auto"/>
          <w:szCs w:val="21"/>
          <w:highlight w:val="none"/>
        </w:rPr>
        <w:t>3.1参加本次服务项目评比的评比供应商必须满足本须知前附表中第</w:t>
      </w:r>
      <w:r>
        <w:rPr>
          <w:b/>
          <w:color w:val="auto"/>
          <w:szCs w:val="21"/>
          <w:highlight w:val="none"/>
          <w:u w:val="single"/>
        </w:rPr>
        <w:t>4</w:t>
      </w:r>
      <w:r>
        <w:rPr>
          <w:color w:val="auto"/>
          <w:szCs w:val="21"/>
          <w:highlight w:val="none"/>
        </w:rPr>
        <w:t>项的资格要求。</w:t>
      </w:r>
    </w:p>
    <w:p>
      <w:pPr>
        <w:adjustRightInd w:val="0"/>
        <w:snapToGrid w:val="0"/>
        <w:spacing w:line="440" w:lineRule="exact"/>
        <w:ind w:left="315" w:hanging="315" w:hangingChars="150"/>
        <w:rPr>
          <w:color w:val="auto"/>
          <w:szCs w:val="21"/>
          <w:highlight w:val="none"/>
        </w:rPr>
      </w:pPr>
      <w:r>
        <w:rPr>
          <w:color w:val="auto"/>
          <w:szCs w:val="21"/>
          <w:highlight w:val="none"/>
        </w:rPr>
        <w:t>3.2评比供应商必须向代理机构购买评比文件并登记备案，未向代理机构购买评比文件并登记备案的潜在评比供应商均无资格参加本次评比。</w:t>
      </w:r>
    </w:p>
    <w:p>
      <w:pPr>
        <w:adjustRightInd w:val="0"/>
        <w:snapToGrid w:val="0"/>
        <w:spacing w:line="440" w:lineRule="exact"/>
        <w:rPr>
          <w:color w:val="auto"/>
          <w:szCs w:val="21"/>
          <w:highlight w:val="none"/>
        </w:rPr>
      </w:pPr>
      <w:r>
        <w:rPr>
          <w:color w:val="auto"/>
          <w:szCs w:val="21"/>
          <w:highlight w:val="none"/>
        </w:rPr>
        <w:t>3.3评比供应商应遵守国家法律法规及采购人相关规定。</w:t>
      </w:r>
    </w:p>
    <w:p>
      <w:pPr>
        <w:adjustRightInd w:val="0"/>
        <w:snapToGrid w:val="0"/>
        <w:spacing w:line="440" w:lineRule="exact"/>
        <w:rPr>
          <w:color w:val="auto"/>
          <w:szCs w:val="21"/>
          <w:highlight w:val="none"/>
        </w:rPr>
      </w:pPr>
      <w:r>
        <w:rPr>
          <w:color w:val="auto"/>
          <w:szCs w:val="21"/>
          <w:highlight w:val="none"/>
        </w:rPr>
        <w:t>3.4本项目评比不接受联合体形式的评比。</w:t>
      </w:r>
    </w:p>
    <w:p>
      <w:pPr>
        <w:adjustRightInd w:val="0"/>
        <w:snapToGrid w:val="0"/>
        <w:spacing w:line="440" w:lineRule="exact"/>
        <w:rPr>
          <w:color w:val="auto"/>
          <w:szCs w:val="21"/>
          <w:highlight w:val="none"/>
        </w:rPr>
      </w:pPr>
      <w:r>
        <w:rPr>
          <w:color w:val="auto"/>
          <w:szCs w:val="21"/>
          <w:highlight w:val="none"/>
        </w:rPr>
        <w:t>3.5本项目评比不接受合同分包。</w:t>
      </w:r>
    </w:p>
    <w:p>
      <w:pPr>
        <w:numPr>
          <w:ilvl w:val="0"/>
          <w:numId w:val="2"/>
        </w:numPr>
        <w:adjustRightInd w:val="0"/>
        <w:snapToGrid w:val="0"/>
        <w:spacing w:line="440" w:lineRule="exact"/>
        <w:rPr>
          <w:b/>
          <w:bCs/>
          <w:color w:val="auto"/>
          <w:szCs w:val="21"/>
          <w:highlight w:val="none"/>
        </w:rPr>
      </w:pPr>
      <w:bookmarkStart w:id="10" w:name="_Toc23613345"/>
      <w:r>
        <w:rPr>
          <w:b/>
          <w:bCs/>
          <w:color w:val="auto"/>
          <w:szCs w:val="21"/>
          <w:highlight w:val="none"/>
        </w:rPr>
        <w:t>评比费用</w:t>
      </w:r>
      <w:bookmarkEnd w:id="10"/>
    </w:p>
    <w:p>
      <w:pPr>
        <w:adjustRightInd w:val="0"/>
        <w:snapToGrid w:val="0"/>
        <w:spacing w:line="440" w:lineRule="exact"/>
        <w:rPr>
          <w:color w:val="auto"/>
          <w:szCs w:val="21"/>
          <w:highlight w:val="none"/>
        </w:rPr>
      </w:pPr>
      <w:r>
        <w:rPr>
          <w:color w:val="auto"/>
          <w:szCs w:val="21"/>
          <w:highlight w:val="none"/>
        </w:rPr>
        <w:t>4.1 评比供应商在评比过程中发生的一切费用，无论成交与否，均由评比供应商自负。</w:t>
      </w:r>
    </w:p>
    <w:p>
      <w:pPr>
        <w:numPr>
          <w:ilvl w:val="0"/>
          <w:numId w:val="2"/>
        </w:numPr>
        <w:adjustRightInd w:val="0"/>
        <w:snapToGrid w:val="0"/>
        <w:spacing w:line="440" w:lineRule="exact"/>
        <w:rPr>
          <w:b/>
          <w:bCs/>
          <w:color w:val="auto"/>
          <w:szCs w:val="21"/>
          <w:highlight w:val="none"/>
        </w:rPr>
      </w:pPr>
      <w:r>
        <w:rPr>
          <w:b/>
          <w:bCs/>
          <w:color w:val="auto"/>
          <w:szCs w:val="21"/>
          <w:highlight w:val="none"/>
        </w:rPr>
        <w:t>现场考察</w:t>
      </w:r>
    </w:p>
    <w:p>
      <w:pPr>
        <w:adjustRightInd w:val="0"/>
        <w:snapToGrid w:val="0"/>
        <w:spacing w:line="440" w:lineRule="exact"/>
        <w:ind w:left="372" w:hanging="371" w:hangingChars="177"/>
        <w:rPr>
          <w:color w:val="auto"/>
          <w:szCs w:val="21"/>
          <w:highlight w:val="none"/>
        </w:rPr>
      </w:pPr>
      <w:r>
        <w:rPr>
          <w:color w:val="auto"/>
          <w:szCs w:val="21"/>
          <w:highlight w:val="none"/>
        </w:rPr>
        <w:t>5.1评比供应商应按照本须知前附表中第</w:t>
      </w:r>
      <w:r>
        <w:rPr>
          <w:b/>
          <w:color w:val="auto"/>
          <w:szCs w:val="21"/>
          <w:highlight w:val="none"/>
          <w:u w:val="single"/>
        </w:rPr>
        <w:t>5</w:t>
      </w:r>
      <w:r>
        <w:rPr>
          <w:color w:val="auto"/>
          <w:szCs w:val="21"/>
          <w:highlight w:val="none"/>
        </w:rPr>
        <w:t>项规定的时间和地点，参加由评比方统一组织的现场考察，了解项目情况，自行负责、获得有关编制评比响应文件和签订服务合同所必需的一切资料。</w:t>
      </w:r>
    </w:p>
    <w:p>
      <w:pPr>
        <w:adjustRightInd w:val="0"/>
        <w:snapToGrid w:val="0"/>
        <w:spacing w:line="440" w:lineRule="exact"/>
        <w:ind w:left="372" w:hanging="371" w:hangingChars="177"/>
        <w:rPr>
          <w:color w:val="auto"/>
          <w:szCs w:val="21"/>
          <w:highlight w:val="none"/>
        </w:rPr>
      </w:pPr>
      <w:r>
        <w:rPr>
          <w:color w:val="auto"/>
          <w:szCs w:val="21"/>
          <w:highlight w:val="none"/>
        </w:rPr>
        <w:t>5.2评比供应商考察现场以后，将被认为已经对项目的总体情况、服务工作难度、条件及当地的有关情况获得了解，并认为评比供应商已充分了解了自己成交后有可能承担的风险、责任和义务，评比供应商未按时派人参加现场考察的，视为自动放弃该权利，在评比、合同签订及履行时不得以不熟悉项目情况为由提出相关要求。</w:t>
      </w:r>
    </w:p>
    <w:p>
      <w:pPr>
        <w:adjustRightInd w:val="0"/>
        <w:snapToGrid w:val="0"/>
        <w:spacing w:line="440" w:lineRule="exact"/>
        <w:ind w:left="372" w:hanging="371" w:hangingChars="177"/>
        <w:rPr>
          <w:color w:val="auto"/>
          <w:szCs w:val="21"/>
          <w:highlight w:val="none"/>
        </w:rPr>
      </w:pPr>
      <w:r>
        <w:rPr>
          <w:color w:val="auto"/>
          <w:szCs w:val="21"/>
          <w:highlight w:val="none"/>
        </w:rPr>
        <w:t>5.3考察现场过程中，评比供应商及其代表可能会对其自身或对第三方造成的人身伤害、财产损失或损坏，以及其他任何原因造成的损失、损坏或费用，必须由评比供应商及其代表自行承担。</w:t>
      </w:r>
    </w:p>
    <w:p>
      <w:pPr>
        <w:adjustRightInd w:val="0"/>
        <w:snapToGrid w:val="0"/>
        <w:spacing w:line="440" w:lineRule="exact"/>
        <w:ind w:left="372" w:hanging="371" w:hangingChars="177"/>
        <w:rPr>
          <w:color w:val="auto"/>
          <w:szCs w:val="21"/>
          <w:highlight w:val="none"/>
        </w:rPr>
      </w:pPr>
      <w:r>
        <w:rPr>
          <w:color w:val="auto"/>
          <w:szCs w:val="21"/>
          <w:highlight w:val="none"/>
        </w:rPr>
        <w:t>5.4 在现场考察过程中，评比供应商只许委派1-2名代表参加，并严格遵守评比方提出的纪律要求。</w:t>
      </w:r>
    </w:p>
    <w:p>
      <w:pPr>
        <w:adjustRightInd w:val="0"/>
        <w:snapToGrid w:val="0"/>
        <w:spacing w:line="440" w:lineRule="exact"/>
        <w:ind w:left="372" w:hanging="371" w:hangingChars="177"/>
        <w:rPr>
          <w:color w:val="auto"/>
          <w:szCs w:val="21"/>
          <w:highlight w:val="none"/>
        </w:rPr>
      </w:pPr>
    </w:p>
    <w:p>
      <w:pPr>
        <w:pStyle w:val="3"/>
        <w:spacing w:line="440" w:lineRule="exact"/>
        <w:rPr>
          <w:rFonts w:ascii="Times New Roman" w:hAnsi="Times New Roman" w:eastAsia="宋体"/>
          <w:color w:val="auto"/>
          <w:sz w:val="28"/>
          <w:szCs w:val="28"/>
          <w:highlight w:val="none"/>
        </w:rPr>
      </w:pPr>
      <w:bookmarkStart w:id="11" w:name="_Toc10213428"/>
      <w:bookmarkStart w:id="12" w:name="_Toc33340836"/>
      <w:bookmarkStart w:id="13" w:name="_Toc24455231"/>
      <w:bookmarkStart w:id="14" w:name="_Toc68963462"/>
      <w:bookmarkStart w:id="15" w:name="_Toc24083811"/>
      <w:bookmarkStart w:id="16" w:name="_Toc23613348"/>
      <w:r>
        <w:rPr>
          <w:rFonts w:ascii="Times New Roman" w:hAnsi="Times New Roman" w:eastAsia="宋体"/>
          <w:color w:val="auto"/>
          <w:sz w:val="28"/>
          <w:szCs w:val="28"/>
          <w:highlight w:val="none"/>
        </w:rPr>
        <w:t>二、评比文件</w:t>
      </w:r>
      <w:bookmarkEnd w:id="11"/>
      <w:bookmarkEnd w:id="12"/>
      <w:bookmarkEnd w:id="13"/>
      <w:bookmarkEnd w:id="14"/>
      <w:bookmarkEnd w:id="15"/>
      <w:bookmarkEnd w:id="16"/>
    </w:p>
    <w:p>
      <w:pPr>
        <w:numPr>
          <w:ilvl w:val="0"/>
          <w:numId w:val="2"/>
        </w:numPr>
        <w:adjustRightInd w:val="0"/>
        <w:snapToGrid w:val="0"/>
        <w:spacing w:line="440" w:lineRule="exact"/>
        <w:rPr>
          <w:b/>
          <w:bCs/>
          <w:color w:val="auto"/>
          <w:szCs w:val="21"/>
          <w:highlight w:val="none"/>
        </w:rPr>
      </w:pPr>
      <w:bookmarkStart w:id="17" w:name="_Toc23613349"/>
      <w:r>
        <w:rPr>
          <w:b/>
          <w:bCs/>
          <w:color w:val="auto"/>
          <w:szCs w:val="21"/>
          <w:highlight w:val="none"/>
        </w:rPr>
        <w:t>评比文件的内容</w:t>
      </w:r>
      <w:bookmarkEnd w:id="17"/>
    </w:p>
    <w:p>
      <w:pPr>
        <w:adjustRightInd w:val="0"/>
        <w:snapToGrid w:val="0"/>
        <w:spacing w:line="440" w:lineRule="exact"/>
        <w:rPr>
          <w:color w:val="auto"/>
          <w:szCs w:val="21"/>
          <w:highlight w:val="none"/>
        </w:rPr>
      </w:pPr>
      <w:r>
        <w:rPr>
          <w:color w:val="auto"/>
          <w:szCs w:val="21"/>
          <w:highlight w:val="none"/>
        </w:rPr>
        <w:t>6.1评比文件除本款下述内容外，还包括所有按照本须知第</w:t>
      </w:r>
      <w:r>
        <w:rPr>
          <w:b/>
          <w:color w:val="auto"/>
          <w:szCs w:val="21"/>
          <w:highlight w:val="none"/>
          <w:u w:val="single"/>
        </w:rPr>
        <w:t>7.1</w:t>
      </w:r>
      <w:r>
        <w:rPr>
          <w:color w:val="auto"/>
          <w:szCs w:val="21"/>
          <w:highlight w:val="none"/>
        </w:rPr>
        <w:t>款和第</w:t>
      </w:r>
      <w:r>
        <w:rPr>
          <w:color w:val="auto"/>
          <w:szCs w:val="21"/>
          <w:highlight w:val="none"/>
          <w:u w:val="single"/>
        </w:rPr>
        <w:t>8</w:t>
      </w:r>
      <w:r>
        <w:rPr>
          <w:color w:val="auto"/>
          <w:szCs w:val="21"/>
          <w:highlight w:val="none"/>
        </w:rPr>
        <w:t>条发出的澄清/修改补充文件。</w:t>
      </w:r>
    </w:p>
    <w:p>
      <w:pPr>
        <w:numPr>
          <w:ilvl w:val="0"/>
          <w:numId w:val="4"/>
        </w:numPr>
        <w:adjustRightInd w:val="0"/>
        <w:snapToGrid w:val="0"/>
        <w:spacing w:line="440" w:lineRule="exact"/>
        <w:rPr>
          <w:color w:val="auto"/>
          <w:szCs w:val="21"/>
          <w:highlight w:val="none"/>
        </w:rPr>
      </w:pPr>
      <w:r>
        <w:rPr>
          <w:color w:val="auto"/>
          <w:szCs w:val="21"/>
          <w:highlight w:val="none"/>
        </w:rPr>
        <w:t>评比公告</w:t>
      </w:r>
    </w:p>
    <w:p>
      <w:pPr>
        <w:numPr>
          <w:ilvl w:val="0"/>
          <w:numId w:val="4"/>
        </w:numPr>
        <w:adjustRightInd w:val="0"/>
        <w:snapToGrid w:val="0"/>
        <w:spacing w:line="440" w:lineRule="exact"/>
        <w:rPr>
          <w:color w:val="auto"/>
          <w:szCs w:val="21"/>
          <w:highlight w:val="none"/>
        </w:rPr>
      </w:pPr>
      <w:r>
        <w:rPr>
          <w:color w:val="auto"/>
          <w:szCs w:val="21"/>
          <w:highlight w:val="none"/>
        </w:rPr>
        <w:t>评比供应商须知</w:t>
      </w:r>
    </w:p>
    <w:p>
      <w:pPr>
        <w:numPr>
          <w:ilvl w:val="0"/>
          <w:numId w:val="4"/>
        </w:numPr>
        <w:adjustRightInd w:val="0"/>
        <w:snapToGrid w:val="0"/>
        <w:spacing w:line="440" w:lineRule="exact"/>
        <w:rPr>
          <w:color w:val="auto"/>
          <w:szCs w:val="21"/>
          <w:highlight w:val="none"/>
        </w:rPr>
      </w:pPr>
      <w:r>
        <w:rPr>
          <w:color w:val="auto"/>
          <w:szCs w:val="21"/>
          <w:highlight w:val="none"/>
        </w:rPr>
        <w:t>合同条件、格式</w:t>
      </w:r>
    </w:p>
    <w:p>
      <w:pPr>
        <w:numPr>
          <w:ilvl w:val="0"/>
          <w:numId w:val="4"/>
        </w:numPr>
        <w:adjustRightInd w:val="0"/>
        <w:snapToGrid w:val="0"/>
        <w:spacing w:line="440" w:lineRule="exact"/>
        <w:rPr>
          <w:color w:val="auto"/>
          <w:szCs w:val="21"/>
          <w:highlight w:val="none"/>
        </w:rPr>
      </w:pPr>
      <w:r>
        <w:rPr>
          <w:color w:val="auto"/>
          <w:szCs w:val="21"/>
          <w:highlight w:val="none"/>
        </w:rPr>
        <w:t>技术服务需求及说明</w:t>
      </w:r>
    </w:p>
    <w:p>
      <w:pPr>
        <w:numPr>
          <w:ilvl w:val="0"/>
          <w:numId w:val="4"/>
        </w:numPr>
        <w:adjustRightInd w:val="0"/>
        <w:snapToGrid w:val="0"/>
        <w:spacing w:line="440" w:lineRule="exact"/>
        <w:rPr>
          <w:color w:val="auto"/>
          <w:szCs w:val="21"/>
          <w:highlight w:val="none"/>
        </w:rPr>
      </w:pPr>
      <w:r>
        <w:rPr>
          <w:color w:val="auto"/>
          <w:szCs w:val="21"/>
          <w:highlight w:val="none"/>
        </w:rPr>
        <w:t>评比响应文件格式</w:t>
      </w:r>
    </w:p>
    <w:p>
      <w:pPr>
        <w:numPr>
          <w:ilvl w:val="0"/>
          <w:numId w:val="4"/>
        </w:numPr>
        <w:adjustRightInd w:val="0"/>
        <w:snapToGrid w:val="0"/>
        <w:spacing w:line="440" w:lineRule="exact"/>
        <w:rPr>
          <w:color w:val="auto"/>
          <w:szCs w:val="21"/>
          <w:highlight w:val="none"/>
        </w:rPr>
      </w:pPr>
      <w:r>
        <w:rPr>
          <w:color w:val="auto"/>
          <w:szCs w:val="21"/>
          <w:highlight w:val="none"/>
        </w:rPr>
        <w:t>评审办法</w:t>
      </w:r>
    </w:p>
    <w:p>
      <w:pPr>
        <w:adjustRightInd w:val="0"/>
        <w:snapToGrid w:val="0"/>
        <w:spacing w:line="440" w:lineRule="exact"/>
        <w:ind w:left="372" w:hanging="371" w:hangingChars="177"/>
        <w:rPr>
          <w:color w:val="auto"/>
          <w:szCs w:val="21"/>
          <w:highlight w:val="none"/>
        </w:rPr>
      </w:pPr>
      <w:r>
        <w:rPr>
          <w:color w:val="auto"/>
          <w:szCs w:val="21"/>
          <w:highlight w:val="none"/>
        </w:rPr>
        <w:t>6.2评比供应商应仔细阅读评比文件，并按照评比文件的规定格式编制评比响应文件，凡与评比文件的规定有重大不符的评比响应文件，将被视为无效评比，不予进入详细评审。</w:t>
      </w:r>
    </w:p>
    <w:p>
      <w:pPr>
        <w:numPr>
          <w:ilvl w:val="0"/>
          <w:numId w:val="2"/>
        </w:numPr>
        <w:adjustRightInd w:val="0"/>
        <w:snapToGrid w:val="0"/>
        <w:spacing w:line="440" w:lineRule="exact"/>
        <w:rPr>
          <w:b/>
          <w:bCs/>
          <w:color w:val="auto"/>
          <w:szCs w:val="21"/>
          <w:highlight w:val="none"/>
        </w:rPr>
      </w:pPr>
      <w:bookmarkStart w:id="18" w:name="_Toc23613350"/>
      <w:r>
        <w:rPr>
          <w:b/>
          <w:bCs/>
          <w:color w:val="auto"/>
          <w:szCs w:val="21"/>
          <w:highlight w:val="none"/>
        </w:rPr>
        <w:t>评比文件的澄清和解答</w:t>
      </w:r>
      <w:bookmarkEnd w:id="18"/>
    </w:p>
    <w:p>
      <w:pPr>
        <w:adjustRightInd w:val="0"/>
        <w:snapToGrid w:val="0"/>
        <w:spacing w:line="440" w:lineRule="exact"/>
        <w:ind w:left="372" w:hanging="371" w:hangingChars="177"/>
        <w:rPr>
          <w:color w:val="auto"/>
          <w:szCs w:val="21"/>
          <w:highlight w:val="none"/>
        </w:rPr>
      </w:pPr>
      <w:r>
        <w:rPr>
          <w:color w:val="auto"/>
          <w:szCs w:val="21"/>
          <w:highlight w:val="none"/>
        </w:rPr>
        <w:t>7.1评比供应商可以在本须知前附表中第6项规定的时间之前，对评比文件的有关事宜以书面形式（加盖公章）提请采购人予以澄清，采购人将通过书面形式向所有获得评比文件的评比供应商进行澄清（答复中不注明问题的来源）。</w:t>
      </w:r>
    </w:p>
    <w:p>
      <w:pPr>
        <w:numPr>
          <w:ilvl w:val="0"/>
          <w:numId w:val="2"/>
        </w:numPr>
        <w:adjustRightInd w:val="0"/>
        <w:snapToGrid w:val="0"/>
        <w:spacing w:line="440" w:lineRule="exact"/>
        <w:rPr>
          <w:b/>
          <w:bCs/>
          <w:color w:val="auto"/>
          <w:szCs w:val="21"/>
          <w:highlight w:val="none"/>
        </w:rPr>
      </w:pPr>
      <w:bookmarkStart w:id="19" w:name="_Toc23613351"/>
      <w:r>
        <w:rPr>
          <w:b/>
          <w:bCs/>
          <w:color w:val="auto"/>
          <w:szCs w:val="21"/>
          <w:highlight w:val="none"/>
        </w:rPr>
        <w:t>评比文件的修改</w:t>
      </w:r>
      <w:bookmarkEnd w:id="19"/>
    </w:p>
    <w:p>
      <w:pPr>
        <w:adjustRightInd w:val="0"/>
        <w:snapToGrid w:val="0"/>
        <w:spacing w:line="440" w:lineRule="exact"/>
        <w:ind w:left="372" w:hanging="371" w:hangingChars="177"/>
        <w:rPr>
          <w:color w:val="auto"/>
          <w:szCs w:val="21"/>
          <w:highlight w:val="none"/>
        </w:rPr>
      </w:pPr>
      <w:r>
        <w:rPr>
          <w:color w:val="auto"/>
          <w:szCs w:val="21"/>
          <w:highlight w:val="none"/>
        </w:rPr>
        <w:t>8.1采购人在评比截止日期3个工作日之前，可因任何原因，以补充通知的方式对评比文件进行修改。这种修改可能是采购人主动做出的，也可能是为了解答评比供应商疑问而做出的，采购人发出的所有的澄清/修改补充通知应视为评比文件的组成部分。</w:t>
      </w:r>
    </w:p>
    <w:p>
      <w:pPr>
        <w:adjustRightInd w:val="0"/>
        <w:snapToGrid w:val="0"/>
        <w:spacing w:line="440" w:lineRule="exact"/>
        <w:rPr>
          <w:color w:val="auto"/>
          <w:szCs w:val="21"/>
          <w:highlight w:val="none"/>
        </w:rPr>
      </w:pPr>
      <w:r>
        <w:rPr>
          <w:color w:val="auto"/>
          <w:szCs w:val="21"/>
          <w:highlight w:val="none"/>
        </w:rPr>
        <w:t>8.2采购人发出的补充通知若前后存在不一致，以后发者为准。</w:t>
      </w:r>
    </w:p>
    <w:p>
      <w:pPr>
        <w:adjustRightInd w:val="0"/>
        <w:snapToGrid w:val="0"/>
        <w:spacing w:line="440" w:lineRule="exact"/>
        <w:ind w:left="372" w:hanging="371" w:hangingChars="177"/>
        <w:rPr>
          <w:color w:val="auto"/>
          <w:szCs w:val="21"/>
          <w:highlight w:val="none"/>
        </w:rPr>
      </w:pPr>
      <w:r>
        <w:rPr>
          <w:color w:val="auto"/>
          <w:szCs w:val="21"/>
          <w:highlight w:val="none"/>
        </w:rPr>
        <w:t>8.3为便于评比供应商在合理的时间内，按照澄清/补充通知提出的要求编制评比响应文件，采购人可以在适当的时候延长评比截止期，采购人和评比供应商相应的权利与义务亦应随之延长。</w:t>
      </w:r>
    </w:p>
    <w:p>
      <w:pPr>
        <w:adjustRightInd w:val="0"/>
        <w:snapToGrid w:val="0"/>
        <w:spacing w:line="440" w:lineRule="exact"/>
        <w:ind w:left="372" w:hanging="371" w:hangingChars="177"/>
        <w:rPr>
          <w:color w:val="auto"/>
          <w:szCs w:val="21"/>
          <w:highlight w:val="none"/>
        </w:rPr>
      </w:pPr>
      <w:r>
        <w:rPr>
          <w:color w:val="auto"/>
          <w:szCs w:val="21"/>
          <w:highlight w:val="none"/>
        </w:rPr>
        <w:t>8.4评比供应商应在收到澄清/修改补充通知后24小时内以书面形式（加盖公章）向采购人确认收悉。</w:t>
      </w:r>
    </w:p>
    <w:p>
      <w:pPr>
        <w:adjustRightInd w:val="0"/>
        <w:snapToGrid w:val="0"/>
        <w:spacing w:line="440" w:lineRule="exact"/>
        <w:ind w:left="372" w:hanging="371" w:hangingChars="177"/>
        <w:rPr>
          <w:color w:val="auto"/>
          <w:szCs w:val="21"/>
          <w:highlight w:val="none"/>
        </w:rPr>
      </w:pPr>
    </w:p>
    <w:p>
      <w:pPr>
        <w:pStyle w:val="3"/>
        <w:spacing w:line="440" w:lineRule="exact"/>
        <w:rPr>
          <w:rFonts w:ascii="Times New Roman" w:hAnsi="Times New Roman" w:eastAsia="宋体"/>
          <w:color w:val="auto"/>
          <w:sz w:val="28"/>
          <w:szCs w:val="28"/>
          <w:highlight w:val="none"/>
        </w:rPr>
      </w:pPr>
      <w:bookmarkStart w:id="20" w:name="_Toc23613352"/>
      <w:bookmarkStart w:id="21" w:name="_Toc33340837"/>
      <w:bookmarkStart w:id="22" w:name="_Toc24455232"/>
      <w:bookmarkStart w:id="23" w:name="_Toc10213429"/>
      <w:bookmarkStart w:id="24" w:name="_Toc68963463"/>
      <w:bookmarkStart w:id="25" w:name="_Toc24083812"/>
      <w:r>
        <w:rPr>
          <w:rFonts w:ascii="Times New Roman" w:hAnsi="Times New Roman" w:eastAsia="宋体"/>
          <w:color w:val="auto"/>
          <w:sz w:val="28"/>
          <w:szCs w:val="28"/>
          <w:highlight w:val="none"/>
        </w:rPr>
        <w:t>三、评比响应文件的编制</w:t>
      </w:r>
      <w:bookmarkEnd w:id="20"/>
      <w:bookmarkEnd w:id="21"/>
      <w:bookmarkEnd w:id="22"/>
      <w:bookmarkEnd w:id="23"/>
      <w:bookmarkEnd w:id="24"/>
      <w:bookmarkEnd w:id="25"/>
    </w:p>
    <w:p>
      <w:pPr>
        <w:numPr>
          <w:ilvl w:val="0"/>
          <w:numId w:val="2"/>
        </w:numPr>
        <w:adjustRightInd w:val="0"/>
        <w:snapToGrid w:val="0"/>
        <w:spacing w:line="440" w:lineRule="exact"/>
        <w:rPr>
          <w:b/>
          <w:bCs/>
          <w:color w:val="auto"/>
          <w:szCs w:val="21"/>
          <w:highlight w:val="none"/>
        </w:rPr>
      </w:pPr>
      <w:r>
        <w:rPr>
          <w:b/>
          <w:bCs/>
          <w:color w:val="auto"/>
          <w:szCs w:val="21"/>
          <w:highlight w:val="none"/>
        </w:rPr>
        <w:t>评比响应文件的内容</w:t>
      </w:r>
    </w:p>
    <w:p>
      <w:pPr>
        <w:adjustRightInd w:val="0"/>
        <w:snapToGrid w:val="0"/>
        <w:spacing w:line="440" w:lineRule="exact"/>
        <w:rPr>
          <w:color w:val="auto"/>
          <w:szCs w:val="21"/>
          <w:highlight w:val="none"/>
        </w:rPr>
      </w:pPr>
      <w:r>
        <w:rPr>
          <w:color w:val="auto"/>
          <w:szCs w:val="21"/>
          <w:highlight w:val="none"/>
        </w:rPr>
        <w:t>9.1评比供应商编写的评比响应文件，应至少包括但不限于下列各项内容：</w:t>
      </w:r>
    </w:p>
    <w:p>
      <w:pPr>
        <w:adjustRightInd w:val="0"/>
        <w:snapToGrid w:val="0"/>
        <w:spacing w:line="480" w:lineRule="exact"/>
        <w:rPr>
          <w:color w:val="auto"/>
          <w:szCs w:val="21"/>
          <w:highlight w:val="none"/>
        </w:rPr>
      </w:pPr>
      <w:r>
        <w:rPr>
          <w:color w:val="auto"/>
          <w:szCs w:val="21"/>
          <w:highlight w:val="none"/>
        </w:rPr>
        <w:t>9.1.1评比函；</w:t>
      </w:r>
    </w:p>
    <w:p>
      <w:pPr>
        <w:tabs>
          <w:tab w:val="left" w:pos="644"/>
          <w:tab w:val="left" w:pos="1080"/>
          <w:tab w:val="left" w:pos="1260"/>
        </w:tabs>
        <w:adjustRightInd w:val="0"/>
        <w:snapToGrid w:val="0"/>
        <w:spacing w:line="480" w:lineRule="exact"/>
        <w:rPr>
          <w:color w:val="auto"/>
          <w:szCs w:val="21"/>
          <w:highlight w:val="none"/>
        </w:rPr>
      </w:pPr>
      <w:r>
        <w:rPr>
          <w:color w:val="auto"/>
          <w:szCs w:val="21"/>
          <w:highlight w:val="none"/>
        </w:rPr>
        <w:t>9.1.2 评比报价明细表；</w:t>
      </w:r>
    </w:p>
    <w:p>
      <w:pPr>
        <w:adjustRightInd w:val="0"/>
        <w:snapToGrid w:val="0"/>
        <w:spacing w:line="480" w:lineRule="exact"/>
        <w:rPr>
          <w:color w:val="auto"/>
          <w:szCs w:val="21"/>
          <w:highlight w:val="none"/>
        </w:rPr>
      </w:pPr>
      <w:r>
        <w:rPr>
          <w:color w:val="auto"/>
          <w:szCs w:val="21"/>
          <w:highlight w:val="none"/>
        </w:rPr>
        <w:t>9.1.3评比供应商基本情况表；</w:t>
      </w:r>
    </w:p>
    <w:p>
      <w:pPr>
        <w:tabs>
          <w:tab w:val="left" w:pos="644"/>
          <w:tab w:val="left" w:pos="1080"/>
          <w:tab w:val="left" w:pos="1260"/>
        </w:tabs>
        <w:adjustRightInd w:val="0"/>
        <w:snapToGrid w:val="0"/>
        <w:spacing w:line="480" w:lineRule="exact"/>
        <w:rPr>
          <w:color w:val="auto"/>
          <w:szCs w:val="21"/>
          <w:highlight w:val="none"/>
        </w:rPr>
      </w:pPr>
      <w:r>
        <w:rPr>
          <w:color w:val="auto"/>
          <w:szCs w:val="21"/>
          <w:highlight w:val="none"/>
        </w:rPr>
        <w:t>9.1.4交货人员构成；</w:t>
      </w:r>
    </w:p>
    <w:p>
      <w:pPr>
        <w:tabs>
          <w:tab w:val="left" w:pos="644"/>
          <w:tab w:val="left" w:pos="1080"/>
          <w:tab w:val="left" w:pos="1260"/>
        </w:tabs>
        <w:adjustRightInd w:val="0"/>
        <w:snapToGrid w:val="0"/>
        <w:spacing w:line="480" w:lineRule="exact"/>
        <w:rPr>
          <w:color w:val="auto"/>
          <w:szCs w:val="21"/>
          <w:highlight w:val="none"/>
        </w:rPr>
      </w:pPr>
      <w:r>
        <w:rPr>
          <w:color w:val="auto"/>
          <w:szCs w:val="21"/>
          <w:highlight w:val="none"/>
        </w:rPr>
        <w:t>9.1.5资质证明文件：</w:t>
      </w:r>
    </w:p>
    <w:p>
      <w:pPr>
        <w:tabs>
          <w:tab w:val="left" w:pos="5580"/>
        </w:tabs>
        <w:adjustRightInd w:val="0"/>
        <w:snapToGrid w:val="0"/>
        <w:spacing w:line="480" w:lineRule="exact"/>
        <w:rPr>
          <w:color w:val="auto"/>
          <w:szCs w:val="21"/>
          <w:highlight w:val="none"/>
        </w:rPr>
      </w:pPr>
      <w:r>
        <w:rPr>
          <w:color w:val="auto"/>
          <w:szCs w:val="21"/>
          <w:highlight w:val="none"/>
        </w:rPr>
        <w:t>(1) 营业执照（副本）或事业单位法人证书（副本）或个体工商户营业执照或有效的自然人身份证明或社会团体法人登记证书（提供复印件）</w:t>
      </w:r>
    </w:p>
    <w:p>
      <w:pPr>
        <w:tabs>
          <w:tab w:val="left" w:pos="5580"/>
        </w:tabs>
        <w:adjustRightInd w:val="0"/>
        <w:snapToGrid w:val="0"/>
        <w:spacing w:line="480" w:lineRule="exact"/>
        <w:rPr>
          <w:color w:val="auto"/>
          <w:szCs w:val="21"/>
          <w:highlight w:val="none"/>
        </w:rPr>
      </w:pPr>
      <w:r>
        <w:rPr>
          <w:color w:val="auto"/>
          <w:szCs w:val="21"/>
          <w:highlight w:val="none"/>
        </w:rPr>
        <w:t>(2) 法定代表人身份证明书（格式）</w:t>
      </w:r>
    </w:p>
    <w:p>
      <w:pPr>
        <w:tabs>
          <w:tab w:val="left" w:pos="6300"/>
        </w:tabs>
        <w:snapToGrid w:val="0"/>
        <w:spacing w:line="500" w:lineRule="exact"/>
        <w:rPr>
          <w:color w:val="auto"/>
          <w:szCs w:val="21"/>
          <w:highlight w:val="none"/>
        </w:rPr>
      </w:pPr>
      <w:r>
        <w:rPr>
          <w:color w:val="auto"/>
          <w:szCs w:val="21"/>
          <w:highlight w:val="none"/>
        </w:rPr>
        <w:t>(3)法定代表人授权委托书（格式）</w:t>
      </w:r>
    </w:p>
    <w:p>
      <w:pPr>
        <w:tabs>
          <w:tab w:val="left" w:pos="5580"/>
        </w:tabs>
        <w:adjustRightInd w:val="0"/>
        <w:snapToGrid w:val="0"/>
        <w:spacing w:line="480" w:lineRule="exact"/>
        <w:rPr>
          <w:color w:val="auto"/>
          <w:szCs w:val="21"/>
          <w:highlight w:val="none"/>
        </w:rPr>
      </w:pPr>
      <w:r>
        <w:rPr>
          <w:color w:val="auto"/>
          <w:szCs w:val="21"/>
          <w:highlight w:val="none"/>
        </w:rPr>
        <w:t xml:space="preserve">(4) </w:t>
      </w:r>
      <w:r>
        <w:rPr>
          <w:rFonts w:hint="eastAsia" w:ascii="宋体" w:hAnsi="宋体" w:eastAsia="宋体" w:cs="宋体"/>
          <w:color w:val="auto"/>
          <w:sz w:val="21"/>
          <w:szCs w:val="21"/>
          <w:highlight w:val="none"/>
        </w:rPr>
        <w:t>基本资格条件承诺函</w:t>
      </w:r>
      <w:r>
        <w:rPr>
          <w:rFonts w:ascii="Times New Roman" w:hAnsi="Times New Roman"/>
          <w:color w:val="auto"/>
          <w:sz w:val="21"/>
          <w:szCs w:val="21"/>
          <w:highlight w:val="none"/>
        </w:rPr>
        <w:t>（</w:t>
      </w:r>
      <w:r>
        <w:rPr>
          <w:rFonts w:hint="eastAsia"/>
          <w:color w:val="auto"/>
          <w:sz w:val="21"/>
          <w:szCs w:val="21"/>
          <w:highlight w:val="none"/>
          <w:lang w:val="en-US" w:eastAsia="zh-CN"/>
        </w:rPr>
        <w:t>格式</w:t>
      </w:r>
      <w:r>
        <w:rPr>
          <w:rFonts w:ascii="Times New Roman" w:hAnsi="Times New Roman"/>
          <w:color w:val="auto"/>
          <w:sz w:val="21"/>
          <w:szCs w:val="21"/>
          <w:highlight w:val="none"/>
        </w:rPr>
        <w:t>）</w:t>
      </w:r>
    </w:p>
    <w:p>
      <w:pPr>
        <w:pStyle w:val="22"/>
        <w:tabs>
          <w:tab w:val="left" w:pos="5580"/>
        </w:tabs>
        <w:adjustRightInd w:val="0"/>
        <w:snapToGrid w:val="0"/>
        <w:spacing w:line="480" w:lineRule="exact"/>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(5)特定资格条件证书或证明文件</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若有</w:t>
      </w:r>
      <w:r>
        <w:rPr>
          <w:rFonts w:hint="eastAsia" w:ascii="Times New Roman" w:hAnsi="Times New Roman"/>
          <w:color w:val="auto"/>
          <w:sz w:val="21"/>
          <w:szCs w:val="21"/>
          <w:highlight w:val="none"/>
          <w:lang w:eastAsia="zh-CN"/>
        </w:rPr>
        <w:t>）</w:t>
      </w:r>
    </w:p>
    <w:p>
      <w:pPr>
        <w:pStyle w:val="22"/>
        <w:tabs>
          <w:tab w:val="left" w:pos="5580"/>
        </w:tabs>
        <w:adjustRightInd w:val="0"/>
        <w:snapToGrid w:val="0"/>
        <w:spacing w:line="480" w:lineRule="exact"/>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6</w:t>
      </w:r>
      <w:r>
        <w:rPr>
          <w:rFonts w:ascii="Times New Roman" w:hAnsi="Times New Roman"/>
          <w:color w:val="auto"/>
          <w:sz w:val="21"/>
          <w:szCs w:val="21"/>
          <w:highlight w:val="none"/>
        </w:rPr>
        <w:t>）评比文件要求的其他资格证明文件</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若有</w:t>
      </w:r>
      <w:r>
        <w:rPr>
          <w:rFonts w:hint="eastAsia" w:ascii="Times New Roman" w:hAnsi="Times New Roman"/>
          <w:color w:val="auto"/>
          <w:sz w:val="21"/>
          <w:szCs w:val="21"/>
          <w:highlight w:val="none"/>
          <w:lang w:eastAsia="zh-CN"/>
        </w:rPr>
        <w:t>）</w:t>
      </w:r>
      <w:r>
        <w:rPr>
          <w:rFonts w:ascii="Times New Roman" w:hAnsi="Times New Roman"/>
          <w:color w:val="auto"/>
          <w:sz w:val="21"/>
          <w:szCs w:val="21"/>
          <w:highlight w:val="none"/>
        </w:rPr>
        <w:t>。</w:t>
      </w:r>
    </w:p>
    <w:p>
      <w:pPr>
        <w:tabs>
          <w:tab w:val="left" w:pos="540"/>
          <w:tab w:val="left" w:pos="644"/>
          <w:tab w:val="left" w:pos="1080"/>
        </w:tabs>
        <w:adjustRightInd w:val="0"/>
        <w:snapToGrid w:val="0"/>
        <w:spacing w:line="440" w:lineRule="exact"/>
        <w:rPr>
          <w:b/>
          <w:color w:val="auto"/>
          <w:szCs w:val="21"/>
          <w:highlight w:val="none"/>
        </w:rPr>
      </w:pPr>
      <w:r>
        <w:rPr>
          <w:b/>
          <w:color w:val="auto"/>
          <w:szCs w:val="21"/>
          <w:highlight w:val="none"/>
        </w:rPr>
        <w:t>（说明：以上除注明须提供原件的文件以外，均需提供清晰复印件</w:t>
      </w:r>
      <w:r>
        <w:rPr>
          <w:rFonts w:hint="eastAsia"/>
          <w:b/>
          <w:color w:val="auto"/>
          <w:szCs w:val="21"/>
          <w:highlight w:val="none"/>
          <w:lang w:val="en-US" w:eastAsia="zh-CN"/>
        </w:rPr>
        <w:t>或扫描件</w:t>
      </w:r>
      <w:r>
        <w:rPr>
          <w:b/>
          <w:color w:val="auto"/>
          <w:szCs w:val="21"/>
          <w:highlight w:val="none"/>
        </w:rPr>
        <w:t>并加盖公章，评比供应商必须保证其真实有效，如有伪造或不实，将导致其评比响应文件被拒绝。）</w:t>
      </w:r>
    </w:p>
    <w:p>
      <w:pPr>
        <w:pStyle w:val="22"/>
        <w:tabs>
          <w:tab w:val="left" w:pos="5580"/>
        </w:tabs>
        <w:adjustRightInd w:val="0"/>
        <w:snapToGrid w:val="0"/>
        <w:spacing w:line="480" w:lineRule="exact"/>
        <w:rPr>
          <w:rFonts w:ascii="Times New Roman" w:hAnsi="Times New Roman"/>
          <w:color w:val="auto"/>
          <w:sz w:val="21"/>
          <w:szCs w:val="21"/>
          <w:highlight w:val="none"/>
        </w:rPr>
      </w:pPr>
      <w:r>
        <w:rPr>
          <w:rFonts w:ascii="Times New Roman" w:hAnsi="Times New Roman"/>
          <w:color w:val="auto"/>
          <w:sz w:val="21"/>
          <w:szCs w:val="21"/>
          <w:highlight w:val="none"/>
        </w:rPr>
        <w:t>9.1.6技术响应偏离表</w:t>
      </w:r>
    </w:p>
    <w:p>
      <w:pPr>
        <w:pStyle w:val="22"/>
        <w:tabs>
          <w:tab w:val="left" w:pos="5580"/>
        </w:tabs>
        <w:adjustRightInd w:val="0"/>
        <w:snapToGrid w:val="0"/>
        <w:spacing w:line="480" w:lineRule="exact"/>
        <w:rPr>
          <w:rFonts w:ascii="Times New Roman" w:hAnsi="Times New Roman"/>
          <w:color w:val="auto"/>
          <w:sz w:val="21"/>
          <w:szCs w:val="21"/>
          <w:highlight w:val="none"/>
        </w:rPr>
      </w:pPr>
      <w:r>
        <w:rPr>
          <w:rFonts w:ascii="Times New Roman" w:hAnsi="Times New Roman"/>
          <w:color w:val="auto"/>
          <w:sz w:val="21"/>
          <w:szCs w:val="21"/>
          <w:highlight w:val="none"/>
        </w:rPr>
        <w:t>9.1.7商务响应偏离表</w:t>
      </w:r>
    </w:p>
    <w:p>
      <w:pPr>
        <w:pStyle w:val="22"/>
        <w:tabs>
          <w:tab w:val="left" w:pos="5580"/>
        </w:tabs>
        <w:adjustRightInd w:val="0"/>
        <w:snapToGrid w:val="0"/>
        <w:spacing w:line="480" w:lineRule="exact"/>
        <w:rPr>
          <w:rFonts w:ascii="Times New Roman" w:hAnsi="Times New Roman"/>
          <w:color w:val="auto"/>
          <w:sz w:val="21"/>
          <w:szCs w:val="21"/>
          <w:highlight w:val="none"/>
        </w:rPr>
      </w:pPr>
      <w:r>
        <w:rPr>
          <w:rFonts w:ascii="Times New Roman" w:hAnsi="Times New Roman"/>
          <w:color w:val="auto"/>
          <w:sz w:val="21"/>
          <w:szCs w:val="21"/>
          <w:highlight w:val="none"/>
        </w:rPr>
        <w:t>9.1.8其他认为应该提供的资料</w:t>
      </w:r>
    </w:p>
    <w:p>
      <w:pPr>
        <w:adjustRightInd w:val="0"/>
        <w:snapToGrid w:val="0"/>
        <w:spacing w:line="480" w:lineRule="exact"/>
        <w:ind w:left="420" w:hanging="420" w:hangingChars="200"/>
        <w:rPr>
          <w:color w:val="auto"/>
          <w:szCs w:val="21"/>
          <w:highlight w:val="none"/>
        </w:rPr>
      </w:pPr>
      <w:r>
        <w:rPr>
          <w:color w:val="auto"/>
          <w:szCs w:val="21"/>
          <w:highlight w:val="none"/>
        </w:rPr>
        <w:t>9.2本评比文件应符合以下要求：</w:t>
      </w:r>
    </w:p>
    <w:p>
      <w:pPr>
        <w:adjustRightInd w:val="0"/>
        <w:snapToGrid w:val="0"/>
        <w:spacing w:line="480" w:lineRule="exact"/>
        <w:ind w:left="420" w:hanging="420" w:hangingChars="200"/>
        <w:rPr>
          <w:color w:val="auto"/>
          <w:szCs w:val="21"/>
          <w:highlight w:val="none"/>
        </w:rPr>
      </w:pPr>
      <w:r>
        <w:rPr>
          <w:color w:val="auto"/>
          <w:szCs w:val="21"/>
          <w:highlight w:val="none"/>
        </w:rPr>
        <w:t>9.2.1本评比文件要求的或评比供应商认为有必要提供的其他资料，可根据所提供资料的内容和性质列</w:t>
      </w:r>
    </w:p>
    <w:p>
      <w:pPr>
        <w:adjustRightInd w:val="0"/>
        <w:snapToGrid w:val="0"/>
        <w:spacing w:line="480" w:lineRule="exact"/>
        <w:rPr>
          <w:color w:val="auto"/>
          <w:szCs w:val="21"/>
          <w:highlight w:val="none"/>
        </w:rPr>
      </w:pPr>
      <w:r>
        <w:rPr>
          <w:color w:val="auto"/>
          <w:szCs w:val="21"/>
          <w:highlight w:val="none"/>
        </w:rPr>
        <w:t>入上述各部分的文件中。</w:t>
      </w:r>
    </w:p>
    <w:p>
      <w:pPr>
        <w:adjustRightInd w:val="0"/>
        <w:snapToGrid w:val="0"/>
        <w:spacing w:line="480" w:lineRule="exact"/>
        <w:rPr>
          <w:color w:val="auto"/>
          <w:szCs w:val="21"/>
          <w:highlight w:val="none"/>
        </w:rPr>
      </w:pPr>
      <w:r>
        <w:rPr>
          <w:color w:val="auto"/>
          <w:szCs w:val="21"/>
          <w:highlight w:val="none"/>
        </w:rPr>
        <w:t>9.2.2评比供应商应使用评比文件提供的评比响应文件格式，表格可以按同样格式扩展。</w:t>
      </w:r>
    </w:p>
    <w:p>
      <w:pPr>
        <w:adjustRightInd w:val="0"/>
        <w:snapToGrid w:val="0"/>
        <w:spacing w:line="480" w:lineRule="exact"/>
        <w:rPr>
          <w:color w:val="auto"/>
          <w:szCs w:val="21"/>
          <w:highlight w:val="none"/>
        </w:rPr>
      </w:pPr>
      <w:r>
        <w:rPr>
          <w:color w:val="auto"/>
          <w:szCs w:val="21"/>
          <w:highlight w:val="none"/>
        </w:rPr>
        <w:t>9.2.3评比响应文件应印刷清晰整洁，编制目录，注明页码，以便查阅。</w:t>
      </w:r>
    </w:p>
    <w:p>
      <w:pPr>
        <w:adjustRightInd w:val="0"/>
        <w:snapToGrid w:val="0"/>
        <w:spacing w:line="480" w:lineRule="exact"/>
        <w:ind w:left="420" w:hanging="420" w:hangingChars="200"/>
        <w:rPr>
          <w:color w:val="auto"/>
          <w:szCs w:val="21"/>
          <w:highlight w:val="none"/>
        </w:rPr>
      </w:pPr>
      <w:r>
        <w:rPr>
          <w:color w:val="auto"/>
          <w:szCs w:val="21"/>
          <w:highlight w:val="none"/>
        </w:rPr>
        <w:t>9.2.4评比响应文件、评比交换的文件和往来信函应采用简体中文。除非评比文件另有规定，计量单位</w:t>
      </w:r>
    </w:p>
    <w:p>
      <w:pPr>
        <w:adjustRightInd w:val="0"/>
        <w:snapToGrid w:val="0"/>
        <w:spacing w:line="480" w:lineRule="exact"/>
        <w:ind w:firstLine="420" w:firstLineChars="200"/>
        <w:rPr>
          <w:color w:val="auto"/>
          <w:szCs w:val="21"/>
          <w:highlight w:val="none"/>
        </w:rPr>
      </w:pPr>
      <w:r>
        <w:rPr>
          <w:color w:val="auto"/>
          <w:szCs w:val="21"/>
          <w:highlight w:val="none"/>
        </w:rPr>
        <w:t>应使用中华人民共和国法定计量单位。</w:t>
      </w:r>
    </w:p>
    <w:p>
      <w:pPr>
        <w:adjustRightInd w:val="0"/>
        <w:snapToGrid w:val="0"/>
        <w:spacing w:line="480" w:lineRule="exact"/>
        <w:ind w:left="420" w:hanging="420" w:hangingChars="200"/>
        <w:rPr>
          <w:color w:val="auto"/>
          <w:szCs w:val="21"/>
          <w:highlight w:val="none"/>
        </w:rPr>
      </w:pPr>
      <w:r>
        <w:rPr>
          <w:color w:val="auto"/>
          <w:szCs w:val="21"/>
          <w:highlight w:val="none"/>
        </w:rPr>
        <w:t>9.2.5评比供应商应详细阅读评比文件的全部内容。评比响应文件必须对评比文件中的内容作出实质性和完整的响应，如果评比响应文件填报的内容资料不详，或没有对评比文件中的内容作出实质性和完整的响应其后果将由评比供应商自己负责。</w:t>
      </w:r>
    </w:p>
    <w:p>
      <w:pPr>
        <w:numPr>
          <w:ilvl w:val="0"/>
          <w:numId w:val="5"/>
        </w:numPr>
        <w:adjustRightInd w:val="0"/>
        <w:snapToGrid w:val="0"/>
        <w:spacing w:line="440" w:lineRule="exact"/>
        <w:rPr>
          <w:b/>
          <w:bCs/>
          <w:color w:val="auto"/>
          <w:szCs w:val="21"/>
          <w:highlight w:val="none"/>
        </w:rPr>
      </w:pPr>
      <w:bookmarkStart w:id="26" w:name="_Toc23613354"/>
      <w:r>
        <w:rPr>
          <w:b/>
          <w:bCs/>
          <w:color w:val="auto"/>
          <w:szCs w:val="21"/>
          <w:highlight w:val="none"/>
        </w:rPr>
        <w:t>评比报价</w:t>
      </w:r>
      <w:bookmarkEnd w:id="26"/>
      <w:r>
        <w:rPr>
          <w:b/>
          <w:bCs/>
          <w:color w:val="auto"/>
          <w:szCs w:val="21"/>
          <w:highlight w:val="none"/>
        </w:rPr>
        <w:t>说明</w:t>
      </w:r>
    </w:p>
    <w:p>
      <w:pPr>
        <w:adjustRightInd w:val="0"/>
        <w:snapToGrid w:val="0"/>
        <w:spacing w:line="440" w:lineRule="exact"/>
        <w:ind w:left="420" w:hanging="420" w:hangingChars="200"/>
        <w:rPr>
          <w:color w:val="auto"/>
          <w:szCs w:val="21"/>
          <w:highlight w:val="none"/>
        </w:rPr>
      </w:pPr>
      <w:r>
        <w:rPr>
          <w:color w:val="auto"/>
          <w:szCs w:val="21"/>
          <w:highlight w:val="none"/>
        </w:rPr>
        <w:t>10.1除非本评比文件或补充/澄清通知另有规定，评比范围应包括本须知所述的全部内容，评比供应商的报价应是按照国家相关规定，实施评比范围内全部服务内容所需的全部费用。</w:t>
      </w:r>
    </w:p>
    <w:p>
      <w:pPr>
        <w:adjustRightInd w:val="0"/>
        <w:snapToGrid w:val="0"/>
        <w:spacing w:line="440" w:lineRule="exact"/>
        <w:ind w:left="420" w:hanging="420" w:hangingChars="200"/>
        <w:rPr>
          <w:color w:val="auto"/>
          <w:szCs w:val="21"/>
          <w:highlight w:val="none"/>
        </w:rPr>
      </w:pPr>
      <w:r>
        <w:rPr>
          <w:color w:val="auto"/>
          <w:szCs w:val="21"/>
          <w:highlight w:val="none"/>
        </w:rPr>
        <w:t>10.2对于评比供应商在评比报价中没有进行报价的项目，并且该项目在评比文件中并没有明确提出免除评比供应商的服务义务，采购人将视为该服务项目的价格已包含在评比报价中，或由评比供应商免费提供该服务。</w:t>
      </w:r>
    </w:p>
    <w:p>
      <w:pPr>
        <w:adjustRightInd w:val="0"/>
        <w:snapToGrid w:val="0"/>
        <w:spacing w:line="440" w:lineRule="exact"/>
        <w:ind w:left="420" w:hanging="420" w:hangingChars="200"/>
        <w:rPr>
          <w:color w:val="auto"/>
          <w:szCs w:val="21"/>
          <w:highlight w:val="none"/>
        </w:rPr>
      </w:pPr>
      <w:r>
        <w:rPr>
          <w:color w:val="auto"/>
          <w:szCs w:val="21"/>
          <w:highlight w:val="none"/>
        </w:rPr>
        <w:t>10.3服务计费方式在委托范围内采用</w:t>
      </w:r>
      <w:r>
        <w:rPr>
          <w:b/>
          <w:bCs/>
          <w:color w:val="auto"/>
          <w:szCs w:val="21"/>
          <w:highlight w:val="none"/>
          <w:u w:val="single"/>
        </w:rPr>
        <w:t>包干制</w:t>
      </w:r>
      <w:r>
        <w:rPr>
          <w:color w:val="auto"/>
          <w:szCs w:val="21"/>
          <w:highlight w:val="none"/>
        </w:rPr>
        <w:t>。评比供应商必须综合考虑本项目的具体情况、评比供应商自身实力、市场竞争因素规定发生调整的情况，按照评比文件规定的格式和内容进行报价。</w:t>
      </w:r>
    </w:p>
    <w:p>
      <w:pPr>
        <w:adjustRightInd w:val="0"/>
        <w:snapToGrid w:val="0"/>
        <w:spacing w:line="440" w:lineRule="exact"/>
        <w:rPr>
          <w:color w:val="auto"/>
          <w:szCs w:val="21"/>
          <w:highlight w:val="none"/>
        </w:rPr>
      </w:pPr>
      <w:r>
        <w:rPr>
          <w:color w:val="auto"/>
          <w:szCs w:val="21"/>
          <w:highlight w:val="none"/>
        </w:rPr>
        <w:t>10.4评比价格均采用人民币币种报出。</w:t>
      </w:r>
    </w:p>
    <w:p>
      <w:pPr>
        <w:adjustRightInd w:val="0"/>
        <w:snapToGrid w:val="0"/>
        <w:spacing w:line="440" w:lineRule="exact"/>
        <w:ind w:left="420" w:hanging="420" w:hangingChars="200"/>
        <w:rPr>
          <w:color w:val="auto"/>
          <w:szCs w:val="21"/>
          <w:highlight w:val="none"/>
        </w:rPr>
      </w:pPr>
      <w:r>
        <w:rPr>
          <w:color w:val="auto"/>
          <w:szCs w:val="21"/>
          <w:highlight w:val="none"/>
        </w:rPr>
        <w:t>10.5评比供应商对评比报价若有说明应在评比报价信显著处给予注明，只有评比时唱出的报价和优惠条件，在评审时才会予以考虑。本项目不接受可选择的评比方案和报价。任何有选择的或可调整的评比方案和报价将被视为非响应性响应而被拒绝。</w:t>
      </w:r>
    </w:p>
    <w:p>
      <w:pPr>
        <w:adjustRightInd w:val="0"/>
        <w:snapToGrid w:val="0"/>
        <w:spacing w:line="440" w:lineRule="exact"/>
        <w:ind w:left="420" w:hanging="420" w:hangingChars="200"/>
        <w:rPr>
          <w:color w:val="auto"/>
          <w:szCs w:val="21"/>
          <w:highlight w:val="none"/>
        </w:rPr>
      </w:pPr>
      <w:r>
        <w:rPr>
          <w:color w:val="auto"/>
          <w:szCs w:val="21"/>
          <w:highlight w:val="none"/>
        </w:rPr>
        <w:t>10.6评比供应商评比报价超出预算价的评比将被拒绝。</w:t>
      </w:r>
    </w:p>
    <w:p>
      <w:pPr>
        <w:adjustRightInd w:val="0"/>
        <w:snapToGrid w:val="0"/>
        <w:spacing w:line="440" w:lineRule="exact"/>
        <w:rPr>
          <w:b/>
          <w:bCs/>
          <w:color w:val="auto"/>
          <w:szCs w:val="21"/>
          <w:highlight w:val="none"/>
        </w:rPr>
      </w:pPr>
      <w:r>
        <w:rPr>
          <w:b/>
          <w:bCs/>
          <w:color w:val="auto"/>
          <w:szCs w:val="21"/>
          <w:highlight w:val="none"/>
        </w:rPr>
        <w:t>11.  评比有效期</w:t>
      </w:r>
    </w:p>
    <w:p>
      <w:pPr>
        <w:adjustRightInd w:val="0"/>
        <w:snapToGrid w:val="0"/>
        <w:spacing w:line="440" w:lineRule="exact"/>
        <w:ind w:left="420" w:hanging="420" w:hangingChars="200"/>
        <w:rPr>
          <w:color w:val="auto"/>
          <w:szCs w:val="21"/>
          <w:highlight w:val="none"/>
        </w:rPr>
      </w:pPr>
      <w:r>
        <w:rPr>
          <w:color w:val="auto"/>
          <w:szCs w:val="21"/>
          <w:highlight w:val="none"/>
        </w:rPr>
        <w:t>11.1评比有效期为评比之日后本须知前附表中第</w:t>
      </w:r>
      <w:r>
        <w:rPr>
          <w:color w:val="auto"/>
          <w:szCs w:val="21"/>
          <w:highlight w:val="none"/>
          <w:u w:val="single"/>
        </w:rPr>
        <w:t>7</w:t>
      </w:r>
      <w:r>
        <w:rPr>
          <w:color w:val="auto"/>
          <w:szCs w:val="21"/>
          <w:highlight w:val="none"/>
        </w:rPr>
        <w:t>项所述的日历日。在此期间内，所有评比响应文件均保持有效。</w:t>
      </w:r>
    </w:p>
    <w:p>
      <w:pPr>
        <w:adjustRightInd w:val="0"/>
        <w:snapToGrid w:val="0"/>
        <w:spacing w:line="440" w:lineRule="exact"/>
        <w:ind w:left="525" w:hanging="525" w:hangingChars="250"/>
        <w:rPr>
          <w:color w:val="auto"/>
          <w:szCs w:val="21"/>
          <w:highlight w:val="none"/>
        </w:rPr>
      </w:pPr>
      <w:r>
        <w:rPr>
          <w:color w:val="auto"/>
          <w:szCs w:val="21"/>
          <w:highlight w:val="none"/>
        </w:rPr>
        <w:t>11.2在原定评比有效期满之前，如果出现特殊情况，采购人可适当延长评比有效期，并及时通知评比供应商。</w:t>
      </w:r>
    </w:p>
    <w:p>
      <w:pPr>
        <w:adjustRightInd w:val="0"/>
        <w:snapToGrid w:val="0"/>
        <w:spacing w:line="440" w:lineRule="exact"/>
        <w:rPr>
          <w:b/>
          <w:bCs/>
          <w:color w:val="auto"/>
          <w:szCs w:val="21"/>
          <w:highlight w:val="none"/>
        </w:rPr>
      </w:pPr>
      <w:r>
        <w:rPr>
          <w:b/>
          <w:bCs/>
          <w:color w:val="auto"/>
          <w:szCs w:val="21"/>
          <w:highlight w:val="none"/>
        </w:rPr>
        <w:t>12．评比保证金（本项目不涉及）</w:t>
      </w:r>
    </w:p>
    <w:p>
      <w:pPr>
        <w:adjustRightInd w:val="0"/>
        <w:snapToGrid w:val="0"/>
        <w:spacing w:line="440" w:lineRule="exact"/>
        <w:ind w:left="420" w:hanging="420" w:hangingChars="200"/>
        <w:rPr>
          <w:color w:val="auto"/>
          <w:szCs w:val="21"/>
          <w:highlight w:val="none"/>
        </w:rPr>
      </w:pPr>
      <w:r>
        <w:rPr>
          <w:color w:val="auto"/>
          <w:szCs w:val="21"/>
          <w:highlight w:val="none"/>
        </w:rPr>
        <w:t>12.1评比供应商在递交评比响应文件之前必须向采购人交纳本须知前附表第</w:t>
      </w:r>
      <w:r>
        <w:rPr>
          <w:color w:val="auto"/>
          <w:szCs w:val="21"/>
          <w:highlight w:val="none"/>
          <w:u w:val="single"/>
        </w:rPr>
        <w:t>8</w:t>
      </w:r>
      <w:r>
        <w:rPr>
          <w:color w:val="auto"/>
          <w:szCs w:val="21"/>
          <w:highlight w:val="none"/>
        </w:rPr>
        <w:t>项所述金额的评比保证金。</w:t>
      </w:r>
    </w:p>
    <w:p>
      <w:pPr>
        <w:adjustRightInd w:val="0"/>
        <w:snapToGrid w:val="0"/>
        <w:spacing w:line="440" w:lineRule="exact"/>
        <w:rPr>
          <w:color w:val="auto"/>
          <w:szCs w:val="21"/>
          <w:highlight w:val="none"/>
        </w:rPr>
      </w:pPr>
      <w:r>
        <w:rPr>
          <w:color w:val="auto"/>
          <w:szCs w:val="21"/>
          <w:highlight w:val="none"/>
        </w:rPr>
        <w:t>12.2评比保证金有效期应与评比有效期保持一致。</w:t>
      </w:r>
    </w:p>
    <w:p>
      <w:pPr>
        <w:adjustRightInd w:val="0"/>
        <w:snapToGrid w:val="0"/>
        <w:spacing w:line="440" w:lineRule="exact"/>
        <w:ind w:left="420" w:hanging="420" w:hangingChars="200"/>
        <w:rPr>
          <w:color w:val="auto"/>
          <w:szCs w:val="21"/>
          <w:highlight w:val="none"/>
        </w:rPr>
      </w:pPr>
      <w:r>
        <w:rPr>
          <w:color w:val="auto"/>
          <w:szCs w:val="21"/>
          <w:highlight w:val="none"/>
        </w:rPr>
        <w:t>12.3评比供应商若依据本须知第</w:t>
      </w:r>
      <w:r>
        <w:rPr>
          <w:color w:val="auto"/>
          <w:szCs w:val="21"/>
          <w:highlight w:val="none"/>
          <w:u w:val="single"/>
        </w:rPr>
        <w:t>11</w:t>
      </w:r>
      <w:r>
        <w:rPr>
          <w:color w:val="auto"/>
          <w:szCs w:val="21"/>
          <w:highlight w:val="none"/>
        </w:rPr>
        <w:t>条的规定延长了评比响应文件有效期，评比保证金的有效期也相应延长；若评比供应商不同意延长评比有效期而放弃评比，评比代理机构将在原评比保证金有效期内退还其评比保证金。对于未能按要求提交足额评比保证金的评比响应文件，可视为不响应评比文件而予以拒绝。</w:t>
      </w:r>
    </w:p>
    <w:p>
      <w:pPr>
        <w:adjustRightInd w:val="0"/>
        <w:snapToGrid w:val="0"/>
        <w:spacing w:line="440" w:lineRule="exact"/>
        <w:ind w:left="420" w:hanging="420" w:hangingChars="200"/>
        <w:rPr>
          <w:color w:val="auto"/>
          <w:szCs w:val="21"/>
          <w:highlight w:val="none"/>
        </w:rPr>
      </w:pPr>
      <w:r>
        <w:rPr>
          <w:color w:val="auto"/>
          <w:szCs w:val="21"/>
          <w:highlight w:val="none"/>
        </w:rPr>
        <w:t>12.4成交人的评比保证金将在成交人按规定与评比供应商签订合同之后5个工作日内无息返还；未成交评比供应商的评比保证金，将在成交通知书发出后5个工作日内无息返还。</w:t>
      </w:r>
    </w:p>
    <w:p>
      <w:pPr>
        <w:adjustRightInd w:val="0"/>
        <w:snapToGrid w:val="0"/>
        <w:spacing w:line="440" w:lineRule="exact"/>
        <w:rPr>
          <w:color w:val="auto"/>
          <w:szCs w:val="21"/>
          <w:highlight w:val="none"/>
        </w:rPr>
      </w:pPr>
      <w:r>
        <w:rPr>
          <w:color w:val="auto"/>
          <w:szCs w:val="21"/>
          <w:highlight w:val="none"/>
        </w:rPr>
        <w:t>12.5评比供应商如有下列情况，其评比保证金将不予退还：</w:t>
      </w:r>
    </w:p>
    <w:p>
      <w:pPr>
        <w:tabs>
          <w:tab w:val="left" w:pos="882"/>
        </w:tabs>
        <w:adjustRightInd w:val="0"/>
        <w:snapToGrid w:val="0"/>
        <w:spacing w:line="440" w:lineRule="exact"/>
        <w:rPr>
          <w:color w:val="auto"/>
          <w:szCs w:val="21"/>
          <w:highlight w:val="none"/>
        </w:rPr>
      </w:pPr>
      <w:r>
        <w:rPr>
          <w:color w:val="auto"/>
          <w:szCs w:val="21"/>
          <w:highlight w:val="none"/>
        </w:rPr>
        <w:t>12.5.1评比供应商在评比有效期内修改或撤回其评比响应文件；</w:t>
      </w:r>
    </w:p>
    <w:p>
      <w:pPr>
        <w:tabs>
          <w:tab w:val="left" w:pos="882"/>
        </w:tabs>
        <w:adjustRightInd w:val="0"/>
        <w:snapToGrid w:val="0"/>
        <w:spacing w:line="440" w:lineRule="exact"/>
        <w:rPr>
          <w:color w:val="auto"/>
          <w:szCs w:val="21"/>
          <w:highlight w:val="none"/>
        </w:rPr>
      </w:pPr>
      <w:r>
        <w:rPr>
          <w:color w:val="auto"/>
          <w:szCs w:val="21"/>
          <w:highlight w:val="none"/>
        </w:rPr>
        <w:t>12.5.2串通作弊、哄抬标价；</w:t>
      </w:r>
    </w:p>
    <w:p>
      <w:pPr>
        <w:tabs>
          <w:tab w:val="left" w:pos="882"/>
        </w:tabs>
        <w:adjustRightInd w:val="0"/>
        <w:snapToGrid w:val="0"/>
        <w:spacing w:line="440" w:lineRule="exact"/>
        <w:rPr>
          <w:color w:val="auto"/>
          <w:szCs w:val="21"/>
          <w:highlight w:val="none"/>
        </w:rPr>
      </w:pPr>
      <w:r>
        <w:rPr>
          <w:color w:val="auto"/>
          <w:szCs w:val="21"/>
          <w:highlight w:val="none"/>
        </w:rPr>
        <w:t>12.5.3成交的评比供应商未能在规定的期限内与评比供应商签订合同；</w:t>
      </w:r>
    </w:p>
    <w:p>
      <w:pPr>
        <w:adjustRightInd w:val="0"/>
        <w:snapToGrid w:val="0"/>
        <w:spacing w:line="440" w:lineRule="exact"/>
        <w:rPr>
          <w:b/>
          <w:bCs/>
          <w:color w:val="auto"/>
          <w:szCs w:val="21"/>
          <w:highlight w:val="none"/>
        </w:rPr>
      </w:pPr>
      <w:bookmarkStart w:id="27" w:name="_Toc23613356"/>
      <w:r>
        <w:rPr>
          <w:b/>
          <w:bCs/>
          <w:color w:val="auto"/>
          <w:szCs w:val="21"/>
          <w:highlight w:val="none"/>
        </w:rPr>
        <w:t>13．评比响应文件的签署</w:t>
      </w:r>
      <w:bookmarkEnd w:id="27"/>
    </w:p>
    <w:p>
      <w:pPr>
        <w:numPr>
          <w:ilvl w:val="1"/>
          <w:numId w:val="6"/>
        </w:numPr>
        <w:adjustRightInd w:val="0"/>
        <w:snapToGrid w:val="0"/>
        <w:spacing w:line="440" w:lineRule="exact"/>
        <w:rPr>
          <w:color w:val="auto"/>
          <w:szCs w:val="21"/>
          <w:highlight w:val="none"/>
        </w:rPr>
      </w:pPr>
      <w:r>
        <w:rPr>
          <w:color w:val="auto"/>
          <w:szCs w:val="21"/>
          <w:highlight w:val="none"/>
        </w:rPr>
        <w:t>评比供应商应按本须知第9条规定内容与格式向采购人送交评比响应文件，评比供应商应针对所投项目</w:t>
      </w:r>
      <w:r>
        <w:rPr>
          <w:bCs/>
          <w:color w:val="auto"/>
          <w:szCs w:val="21"/>
          <w:highlight w:val="none"/>
        </w:rPr>
        <w:t>准备</w:t>
      </w:r>
      <w:r>
        <w:rPr>
          <w:color w:val="auto"/>
          <w:szCs w:val="21"/>
          <w:highlight w:val="none"/>
        </w:rPr>
        <w:t>评比响应</w:t>
      </w:r>
      <w:r>
        <w:rPr>
          <w:b/>
          <w:color w:val="auto"/>
          <w:szCs w:val="21"/>
          <w:highlight w:val="none"/>
        </w:rPr>
        <w:t>纸质文件</w:t>
      </w:r>
      <w:r>
        <w:rPr>
          <w:b/>
          <w:bCs/>
          <w:color w:val="auto"/>
          <w:szCs w:val="21"/>
          <w:highlight w:val="none"/>
        </w:rPr>
        <w:t>正</w:t>
      </w:r>
      <w:r>
        <w:rPr>
          <w:b/>
          <w:color w:val="auto"/>
          <w:szCs w:val="21"/>
          <w:highlight w:val="none"/>
        </w:rPr>
        <w:t>本一份，副本二份，</w:t>
      </w:r>
      <w:r>
        <w:rPr>
          <w:color w:val="auto"/>
          <w:szCs w:val="21"/>
          <w:highlight w:val="none"/>
        </w:rPr>
        <w:t>并在封面上明确标明“正本”和“副本”的字样，评比响应文件</w:t>
      </w:r>
      <w:r>
        <w:rPr>
          <w:b/>
          <w:color w:val="auto"/>
          <w:szCs w:val="21"/>
          <w:highlight w:val="none"/>
        </w:rPr>
        <w:t>电子版一份（推荐采用光盘或U盘为电子文档载体，并单独密封），</w:t>
      </w:r>
      <w:r>
        <w:rPr>
          <w:color w:val="auto"/>
          <w:szCs w:val="21"/>
          <w:highlight w:val="none"/>
        </w:rPr>
        <w:t>当正本与副本有不一致之处时，以正本为准。评比响应文件的副本可为正本的复印件。</w:t>
      </w:r>
    </w:p>
    <w:p>
      <w:pPr>
        <w:numPr>
          <w:ilvl w:val="1"/>
          <w:numId w:val="6"/>
        </w:numPr>
        <w:adjustRightInd w:val="0"/>
        <w:snapToGrid w:val="0"/>
        <w:spacing w:line="440" w:lineRule="exact"/>
        <w:rPr>
          <w:color w:val="auto"/>
          <w:szCs w:val="21"/>
          <w:highlight w:val="none"/>
        </w:rPr>
      </w:pPr>
      <w:r>
        <w:rPr>
          <w:color w:val="auto"/>
          <w:szCs w:val="21"/>
          <w:highlight w:val="none"/>
        </w:rPr>
        <w:t>评比响应文件的正本，一律用不褪色的墨水书写或打印，评比响应文件应按响应文件格式要求加盖评比供应商单位公章，并由评比供应商的法定代表人或其授权的代理人按其规定签字或盖章。</w:t>
      </w:r>
    </w:p>
    <w:p>
      <w:pPr>
        <w:numPr>
          <w:ilvl w:val="1"/>
          <w:numId w:val="6"/>
        </w:numPr>
        <w:adjustRightInd w:val="0"/>
        <w:snapToGrid w:val="0"/>
        <w:spacing w:line="440" w:lineRule="exact"/>
        <w:rPr>
          <w:color w:val="auto"/>
          <w:szCs w:val="21"/>
          <w:highlight w:val="none"/>
        </w:rPr>
      </w:pPr>
      <w:r>
        <w:rPr>
          <w:color w:val="auto"/>
          <w:szCs w:val="21"/>
          <w:highlight w:val="none"/>
        </w:rPr>
        <w:t>全套评比响应文件应无涂改和行间插字，若有改动，无论何种原因所造成，都应由评比供应商的法定代表人或其授权的代理人或自然人在改动处签字。</w:t>
      </w:r>
    </w:p>
    <w:p>
      <w:pPr>
        <w:numPr>
          <w:ilvl w:val="1"/>
          <w:numId w:val="6"/>
        </w:numPr>
        <w:adjustRightInd w:val="0"/>
        <w:snapToGrid w:val="0"/>
        <w:spacing w:line="440" w:lineRule="exact"/>
        <w:rPr>
          <w:color w:val="auto"/>
          <w:szCs w:val="21"/>
          <w:highlight w:val="none"/>
        </w:rPr>
      </w:pPr>
      <w:r>
        <w:rPr>
          <w:color w:val="auto"/>
          <w:szCs w:val="21"/>
          <w:highlight w:val="none"/>
        </w:rPr>
        <w:t>评比响应文件应严格按照评比文件规定的顺序装订成册并编制目录，由于编排混乱导致评比响应文件被误读或查找不到，视为评比供应商的责任。</w:t>
      </w:r>
    </w:p>
    <w:p>
      <w:pPr>
        <w:numPr>
          <w:ilvl w:val="1"/>
          <w:numId w:val="6"/>
        </w:numPr>
        <w:adjustRightInd w:val="0"/>
        <w:snapToGrid w:val="0"/>
        <w:spacing w:line="440" w:lineRule="exact"/>
        <w:rPr>
          <w:color w:val="auto"/>
          <w:szCs w:val="21"/>
          <w:highlight w:val="none"/>
        </w:rPr>
      </w:pPr>
      <w:r>
        <w:rPr>
          <w:color w:val="auto"/>
          <w:szCs w:val="21"/>
          <w:highlight w:val="none"/>
        </w:rPr>
        <w:t>评比响应文件应严格按照评比文件的要求提交，并按规定的统一格式逐项填写，不准有空项；无相应内容可填写“无”、“无相应指标”等明确的回答文字。</w:t>
      </w:r>
    </w:p>
    <w:p>
      <w:pPr>
        <w:numPr>
          <w:ilvl w:val="1"/>
          <w:numId w:val="6"/>
        </w:numPr>
        <w:adjustRightInd w:val="0"/>
        <w:snapToGrid w:val="0"/>
        <w:spacing w:line="440" w:lineRule="exact"/>
        <w:rPr>
          <w:color w:val="auto"/>
          <w:szCs w:val="21"/>
          <w:highlight w:val="none"/>
        </w:rPr>
      </w:pPr>
      <w:r>
        <w:rPr>
          <w:color w:val="auto"/>
          <w:szCs w:val="21"/>
          <w:highlight w:val="none"/>
        </w:rPr>
        <w:t>评比报价表为评比会上公开唱标的内容，要求按格式统一填写，不得自行增减内容。评比供应商必须保证评比响应文件所提供的全部资料真实可靠，并接受评审委员会对其中任何资料进一步审查的要求。</w:t>
      </w:r>
      <w:bookmarkStart w:id="28" w:name="_Toc24455233"/>
      <w:bookmarkStart w:id="29" w:name="_Toc68963464"/>
      <w:bookmarkStart w:id="30" w:name="_Toc24083813"/>
      <w:bookmarkStart w:id="31" w:name="_Toc33340838"/>
      <w:bookmarkStart w:id="32" w:name="_Toc10213430"/>
    </w:p>
    <w:p>
      <w:pPr>
        <w:tabs>
          <w:tab w:val="left" w:pos="420"/>
        </w:tabs>
        <w:adjustRightInd w:val="0"/>
        <w:snapToGrid w:val="0"/>
        <w:spacing w:line="440" w:lineRule="exact"/>
        <w:rPr>
          <w:color w:val="auto"/>
          <w:szCs w:val="21"/>
          <w:highlight w:val="none"/>
        </w:rPr>
      </w:pPr>
    </w:p>
    <w:p>
      <w:pPr>
        <w:pStyle w:val="3"/>
        <w:numPr>
          <w:ilvl w:val="0"/>
          <w:numId w:val="7"/>
        </w:numPr>
        <w:spacing w:line="440" w:lineRule="exact"/>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评比响应文件的递交</w:t>
      </w:r>
      <w:bookmarkEnd w:id="28"/>
      <w:bookmarkEnd w:id="29"/>
      <w:bookmarkEnd w:id="30"/>
      <w:bookmarkEnd w:id="31"/>
      <w:bookmarkEnd w:id="32"/>
    </w:p>
    <w:p>
      <w:pPr>
        <w:rPr>
          <w:color w:val="auto"/>
          <w:highlight w:val="none"/>
        </w:rPr>
      </w:pPr>
    </w:p>
    <w:p>
      <w:pPr>
        <w:adjustRightInd w:val="0"/>
        <w:snapToGrid w:val="0"/>
        <w:spacing w:line="440" w:lineRule="exact"/>
        <w:rPr>
          <w:b/>
          <w:bCs/>
          <w:color w:val="auto"/>
          <w:szCs w:val="21"/>
          <w:highlight w:val="none"/>
        </w:rPr>
      </w:pPr>
      <w:r>
        <w:rPr>
          <w:b/>
          <w:bCs/>
          <w:color w:val="auto"/>
          <w:szCs w:val="21"/>
          <w:highlight w:val="none"/>
        </w:rPr>
        <w:t>14.  评比响应文件的装订、密封和标记</w:t>
      </w:r>
    </w:p>
    <w:p>
      <w:pPr>
        <w:adjustRightInd w:val="0"/>
        <w:snapToGrid w:val="0"/>
        <w:spacing w:line="440" w:lineRule="exact"/>
        <w:ind w:firstLine="420" w:firstLineChars="200"/>
        <w:rPr>
          <w:color w:val="auto"/>
          <w:szCs w:val="21"/>
          <w:highlight w:val="none"/>
        </w:rPr>
      </w:pPr>
      <w:r>
        <w:rPr>
          <w:color w:val="auto"/>
          <w:szCs w:val="21"/>
          <w:highlight w:val="none"/>
        </w:rPr>
        <w:t>评比供应商应将评比响应文件按照本须知第</w:t>
      </w:r>
      <w:r>
        <w:rPr>
          <w:color w:val="auto"/>
          <w:szCs w:val="21"/>
          <w:highlight w:val="none"/>
          <w:u w:val="single"/>
        </w:rPr>
        <w:t>9</w:t>
      </w:r>
      <w:r>
        <w:rPr>
          <w:color w:val="auto"/>
          <w:szCs w:val="21"/>
          <w:highlight w:val="none"/>
        </w:rPr>
        <w:t>条规定的内容和顺序进行编排。</w:t>
      </w:r>
    </w:p>
    <w:p>
      <w:pPr>
        <w:adjustRightInd w:val="0"/>
        <w:snapToGrid w:val="0"/>
        <w:spacing w:line="440" w:lineRule="exact"/>
        <w:ind w:left="420" w:hanging="420" w:hangingChars="200"/>
        <w:rPr>
          <w:color w:val="auto"/>
          <w:szCs w:val="21"/>
          <w:highlight w:val="none"/>
        </w:rPr>
      </w:pPr>
      <w:r>
        <w:rPr>
          <w:color w:val="auto"/>
          <w:szCs w:val="21"/>
          <w:highlight w:val="none"/>
        </w:rPr>
        <w:t>14.1评比响应文件正本、副本电子版应分别密封，并注明“正本”、“副本”及“电子版”字样。然后将所有评比响应文件统一封装在一个外层封套中，封口处需加盖评比供应商公章。</w:t>
      </w:r>
    </w:p>
    <w:p>
      <w:pPr>
        <w:adjustRightInd w:val="0"/>
        <w:snapToGrid w:val="0"/>
        <w:spacing w:line="440" w:lineRule="exact"/>
        <w:rPr>
          <w:color w:val="auto"/>
          <w:szCs w:val="21"/>
          <w:highlight w:val="none"/>
        </w:rPr>
      </w:pPr>
      <w:r>
        <w:rPr>
          <w:color w:val="auto"/>
          <w:szCs w:val="21"/>
          <w:highlight w:val="none"/>
        </w:rPr>
        <w:t>14.2在评比响应文件外层封套上均应注明下列识别标志：</w:t>
      </w:r>
    </w:p>
    <w:p>
      <w:pPr>
        <w:numPr>
          <w:ilvl w:val="0"/>
          <w:numId w:val="8"/>
        </w:numPr>
        <w:adjustRightInd w:val="0"/>
        <w:snapToGrid w:val="0"/>
        <w:spacing w:line="440" w:lineRule="exact"/>
        <w:rPr>
          <w:color w:val="auto"/>
          <w:szCs w:val="21"/>
          <w:highlight w:val="none"/>
        </w:rPr>
      </w:pPr>
      <w:r>
        <w:rPr>
          <w:color w:val="auto"/>
          <w:szCs w:val="21"/>
          <w:highlight w:val="none"/>
        </w:rPr>
        <w:t>项目名称；</w:t>
      </w:r>
    </w:p>
    <w:p>
      <w:pPr>
        <w:numPr>
          <w:ilvl w:val="0"/>
          <w:numId w:val="8"/>
        </w:numPr>
        <w:adjustRightInd w:val="0"/>
        <w:snapToGrid w:val="0"/>
        <w:spacing w:line="440" w:lineRule="exact"/>
        <w:rPr>
          <w:color w:val="auto"/>
          <w:szCs w:val="21"/>
          <w:highlight w:val="none"/>
        </w:rPr>
      </w:pPr>
      <w:r>
        <w:rPr>
          <w:color w:val="auto"/>
          <w:szCs w:val="21"/>
          <w:highlight w:val="none"/>
        </w:rPr>
        <w:t>项目编号；</w:t>
      </w:r>
    </w:p>
    <w:p>
      <w:pPr>
        <w:numPr>
          <w:ilvl w:val="0"/>
          <w:numId w:val="8"/>
        </w:numPr>
        <w:adjustRightInd w:val="0"/>
        <w:snapToGrid w:val="0"/>
        <w:spacing w:line="440" w:lineRule="exact"/>
        <w:rPr>
          <w:color w:val="auto"/>
          <w:szCs w:val="21"/>
          <w:highlight w:val="none"/>
        </w:rPr>
      </w:pPr>
      <w:r>
        <w:rPr>
          <w:color w:val="auto"/>
          <w:szCs w:val="21"/>
          <w:highlight w:val="none"/>
        </w:rPr>
        <w:t>评比响应文件递交地点；</w:t>
      </w:r>
    </w:p>
    <w:p>
      <w:pPr>
        <w:numPr>
          <w:ilvl w:val="0"/>
          <w:numId w:val="8"/>
        </w:numPr>
        <w:adjustRightInd w:val="0"/>
        <w:snapToGrid w:val="0"/>
        <w:spacing w:line="440" w:lineRule="exact"/>
        <w:rPr>
          <w:color w:val="auto"/>
          <w:szCs w:val="21"/>
          <w:highlight w:val="none"/>
        </w:rPr>
      </w:pPr>
      <w:r>
        <w:rPr>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r>
        <w:rPr>
          <w:color w:val="auto"/>
          <w:szCs w:val="21"/>
          <w:highlight w:val="none"/>
          <w:u w:val="single"/>
        </w:rPr>
        <w:t xml:space="preserve">   </w:t>
      </w:r>
      <w:r>
        <w:rPr>
          <w:color w:val="auto"/>
          <w:szCs w:val="21"/>
          <w:highlight w:val="none"/>
        </w:rPr>
        <w:t>时（北京时间）评比，此时间以前不得开启”的字样并加盖评比供应商公章</w:t>
      </w:r>
    </w:p>
    <w:p>
      <w:pPr>
        <w:adjustRightInd w:val="0"/>
        <w:snapToGrid w:val="0"/>
        <w:spacing w:line="440" w:lineRule="exact"/>
        <w:ind w:left="420" w:hanging="420" w:hangingChars="200"/>
        <w:rPr>
          <w:color w:val="auto"/>
          <w:szCs w:val="21"/>
          <w:highlight w:val="none"/>
        </w:rPr>
      </w:pPr>
      <w:r>
        <w:rPr>
          <w:color w:val="auto"/>
          <w:szCs w:val="21"/>
          <w:highlight w:val="none"/>
        </w:rPr>
        <w:t>14.3除了按本须知第</w:t>
      </w:r>
      <w:r>
        <w:rPr>
          <w:color w:val="auto"/>
          <w:szCs w:val="21"/>
          <w:highlight w:val="none"/>
          <w:u w:val="single"/>
        </w:rPr>
        <w:t>14.2</w:t>
      </w:r>
      <w:r>
        <w:rPr>
          <w:color w:val="auto"/>
          <w:szCs w:val="21"/>
          <w:highlight w:val="none"/>
        </w:rPr>
        <w:t>款所要求的识别字样外，在最外层封套上还应写明供应商的名称与地址、邮政编码，以便本须知第</w:t>
      </w:r>
      <w:r>
        <w:rPr>
          <w:color w:val="auto"/>
          <w:szCs w:val="21"/>
          <w:highlight w:val="none"/>
          <w:u w:val="single"/>
        </w:rPr>
        <w:t>16</w:t>
      </w:r>
      <w:r>
        <w:rPr>
          <w:color w:val="auto"/>
          <w:szCs w:val="21"/>
          <w:highlight w:val="none"/>
        </w:rPr>
        <w:t>条规定情况发生时，评比机构可按上面标明的评比供应商地址将评比响应文件原封退回。</w:t>
      </w:r>
    </w:p>
    <w:p>
      <w:pPr>
        <w:adjustRightInd w:val="0"/>
        <w:snapToGrid w:val="0"/>
        <w:spacing w:line="440" w:lineRule="exact"/>
        <w:ind w:left="420" w:hanging="420" w:hangingChars="200"/>
        <w:rPr>
          <w:color w:val="auto"/>
          <w:szCs w:val="21"/>
          <w:highlight w:val="none"/>
        </w:rPr>
      </w:pPr>
      <w:r>
        <w:rPr>
          <w:color w:val="auto"/>
          <w:szCs w:val="21"/>
          <w:highlight w:val="none"/>
        </w:rPr>
        <w:t>14.4如果评比响应文件没有按本须知第</w:t>
      </w:r>
      <w:r>
        <w:rPr>
          <w:color w:val="auto"/>
          <w:szCs w:val="21"/>
          <w:highlight w:val="none"/>
          <w:u w:val="single"/>
        </w:rPr>
        <w:t>14</w:t>
      </w:r>
      <w:r>
        <w:rPr>
          <w:color w:val="auto"/>
          <w:szCs w:val="21"/>
          <w:highlight w:val="none"/>
        </w:rPr>
        <w:t>条的有关规定进行标记和密封，采购人将不承担评比响应文件错放或提前开封的责任。</w:t>
      </w:r>
    </w:p>
    <w:p>
      <w:pPr>
        <w:adjustRightInd w:val="0"/>
        <w:snapToGrid w:val="0"/>
        <w:spacing w:line="440" w:lineRule="exact"/>
        <w:rPr>
          <w:b/>
          <w:bCs/>
          <w:color w:val="auto"/>
          <w:szCs w:val="21"/>
          <w:highlight w:val="none"/>
        </w:rPr>
      </w:pPr>
      <w:r>
        <w:rPr>
          <w:b/>
          <w:bCs/>
          <w:color w:val="auto"/>
          <w:szCs w:val="21"/>
          <w:highlight w:val="none"/>
        </w:rPr>
        <w:t>15.  评比响应文件的递交</w:t>
      </w:r>
    </w:p>
    <w:p>
      <w:pPr>
        <w:adjustRightInd w:val="0"/>
        <w:snapToGrid w:val="0"/>
        <w:spacing w:line="440" w:lineRule="exact"/>
        <w:ind w:left="525" w:hanging="525" w:hangingChars="250"/>
        <w:rPr>
          <w:color w:val="auto"/>
          <w:szCs w:val="21"/>
          <w:highlight w:val="none"/>
        </w:rPr>
      </w:pPr>
      <w:r>
        <w:rPr>
          <w:color w:val="auto"/>
          <w:szCs w:val="21"/>
          <w:highlight w:val="none"/>
        </w:rPr>
        <w:t>15.1评比供应商必须按评比邀请书和本须知前附表第</w:t>
      </w:r>
      <w:r>
        <w:rPr>
          <w:color w:val="auto"/>
          <w:szCs w:val="21"/>
          <w:highlight w:val="none"/>
          <w:u w:val="single"/>
        </w:rPr>
        <w:t>10</w:t>
      </w:r>
      <w:r>
        <w:rPr>
          <w:color w:val="auto"/>
          <w:szCs w:val="21"/>
          <w:highlight w:val="none"/>
        </w:rPr>
        <w:t>条中规定的地点，在规定的时间内将评比响应文件送达。</w:t>
      </w:r>
    </w:p>
    <w:p>
      <w:pPr>
        <w:pStyle w:val="22"/>
        <w:rPr>
          <w:rFonts w:ascii="Times New Roman" w:hAnsi="Times New Roman"/>
          <w:color w:val="auto"/>
          <w:sz w:val="21"/>
          <w:szCs w:val="21"/>
          <w:highlight w:val="none"/>
        </w:rPr>
      </w:pPr>
      <w:r>
        <w:rPr>
          <w:rFonts w:ascii="Times New Roman" w:hAnsi="Times New Roman"/>
          <w:color w:val="auto"/>
          <w:sz w:val="21"/>
          <w:szCs w:val="21"/>
          <w:highlight w:val="none"/>
        </w:rPr>
        <w:t>15.2如果评比响应文件通过邮寄递交，评比供应商应将评比响应文件用内、外两层信封密封。</w:t>
      </w:r>
    </w:p>
    <w:p>
      <w:pPr>
        <w:adjustRightInd w:val="0"/>
        <w:snapToGrid w:val="0"/>
        <w:spacing w:line="440" w:lineRule="exact"/>
        <w:ind w:left="525" w:hanging="525" w:hangingChars="250"/>
        <w:rPr>
          <w:color w:val="auto"/>
          <w:szCs w:val="21"/>
          <w:highlight w:val="none"/>
        </w:rPr>
      </w:pPr>
      <w:r>
        <w:rPr>
          <w:color w:val="auto"/>
          <w:szCs w:val="21"/>
          <w:highlight w:val="none"/>
        </w:rPr>
        <w:t>15.3如果未按上述14款规定进行密封和标记，采购代理机构对评比响应文件误投、丢失或提前拆封不负责任。</w:t>
      </w:r>
    </w:p>
    <w:p>
      <w:pPr>
        <w:adjustRightInd w:val="0"/>
        <w:snapToGrid w:val="0"/>
        <w:spacing w:line="440" w:lineRule="exact"/>
        <w:rPr>
          <w:b/>
          <w:bCs/>
          <w:color w:val="auto"/>
          <w:szCs w:val="21"/>
          <w:highlight w:val="none"/>
        </w:rPr>
      </w:pPr>
      <w:r>
        <w:rPr>
          <w:b/>
          <w:bCs/>
          <w:color w:val="auto"/>
          <w:szCs w:val="21"/>
          <w:highlight w:val="none"/>
        </w:rPr>
        <w:t>16.  迟到的评比响应文件</w:t>
      </w:r>
    </w:p>
    <w:p>
      <w:pPr>
        <w:adjustRightInd w:val="0"/>
        <w:snapToGrid w:val="0"/>
        <w:spacing w:line="440" w:lineRule="exact"/>
        <w:rPr>
          <w:color w:val="auto"/>
          <w:szCs w:val="21"/>
          <w:highlight w:val="none"/>
        </w:rPr>
      </w:pPr>
      <w:r>
        <w:rPr>
          <w:color w:val="auto"/>
          <w:szCs w:val="21"/>
          <w:highlight w:val="none"/>
        </w:rPr>
        <w:t>16.1采购人对于迟到的评比响应文件将不予接收，并退还评比供应商。</w:t>
      </w:r>
    </w:p>
    <w:p>
      <w:pPr>
        <w:adjustRightInd w:val="0"/>
        <w:snapToGrid w:val="0"/>
        <w:spacing w:line="440" w:lineRule="exact"/>
        <w:rPr>
          <w:b/>
          <w:bCs/>
          <w:color w:val="auto"/>
          <w:szCs w:val="21"/>
          <w:highlight w:val="none"/>
        </w:rPr>
      </w:pPr>
      <w:r>
        <w:rPr>
          <w:b/>
          <w:bCs/>
          <w:color w:val="auto"/>
          <w:szCs w:val="21"/>
          <w:highlight w:val="none"/>
        </w:rPr>
        <w:t>17.  评比响应文件的修改与撤回</w:t>
      </w:r>
    </w:p>
    <w:p>
      <w:pPr>
        <w:adjustRightInd w:val="0"/>
        <w:snapToGrid w:val="0"/>
        <w:spacing w:line="440" w:lineRule="exact"/>
        <w:ind w:left="420" w:hanging="420" w:hangingChars="200"/>
        <w:rPr>
          <w:color w:val="auto"/>
          <w:szCs w:val="21"/>
          <w:highlight w:val="none"/>
        </w:rPr>
      </w:pPr>
      <w:r>
        <w:rPr>
          <w:color w:val="auto"/>
          <w:szCs w:val="21"/>
          <w:highlight w:val="none"/>
        </w:rPr>
        <w:t>17.1评比供应商在递交评比响应文件以后，在规定的评比截止时间之前，可以书面形式向采购人递交请求修改其评比响应文件的通知。但在评比截止以后，不能修改评比响应文件。</w:t>
      </w:r>
    </w:p>
    <w:p>
      <w:pPr>
        <w:adjustRightInd w:val="0"/>
        <w:snapToGrid w:val="0"/>
        <w:spacing w:line="440" w:lineRule="exact"/>
        <w:ind w:left="420" w:hanging="420" w:hangingChars="200"/>
        <w:rPr>
          <w:color w:val="auto"/>
          <w:szCs w:val="21"/>
          <w:highlight w:val="none"/>
        </w:rPr>
      </w:pPr>
      <w:r>
        <w:rPr>
          <w:color w:val="auto"/>
          <w:szCs w:val="21"/>
          <w:highlight w:val="none"/>
        </w:rPr>
        <w:t>17.2评比供应商修改后的评比响应文件或撤回通知，应按本须知第</w:t>
      </w:r>
      <w:r>
        <w:rPr>
          <w:color w:val="auto"/>
          <w:szCs w:val="21"/>
          <w:highlight w:val="none"/>
          <w:u w:val="single"/>
        </w:rPr>
        <w:t>13</w:t>
      </w:r>
      <w:r>
        <w:rPr>
          <w:color w:val="auto"/>
          <w:szCs w:val="21"/>
          <w:highlight w:val="none"/>
        </w:rPr>
        <w:t>条和第</w:t>
      </w:r>
      <w:r>
        <w:rPr>
          <w:color w:val="auto"/>
          <w:szCs w:val="21"/>
          <w:highlight w:val="none"/>
          <w:u w:val="single"/>
        </w:rPr>
        <w:t>14</w:t>
      </w:r>
      <w:r>
        <w:rPr>
          <w:color w:val="auto"/>
          <w:szCs w:val="21"/>
          <w:highlight w:val="none"/>
        </w:rPr>
        <w:t>条的规定编制、签署、密封、标志和递交。</w:t>
      </w:r>
    </w:p>
    <w:p>
      <w:pPr>
        <w:adjustRightInd w:val="0"/>
        <w:snapToGrid w:val="0"/>
        <w:spacing w:line="440" w:lineRule="exact"/>
        <w:ind w:left="420" w:hanging="420" w:hangingChars="200"/>
        <w:rPr>
          <w:color w:val="auto"/>
          <w:szCs w:val="21"/>
          <w:highlight w:val="none"/>
        </w:rPr>
      </w:pPr>
      <w:r>
        <w:rPr>
          <w:color w:val="auto"/>
          <w:szCs w:val="21"/>
          <w:highlight w:val="none"/>
        </w:rPr>
        <w:t>17.3根据本须知第</w:t>
      </w:r>
      <w:r>
        <w:rPr>
          <w:color w:val="auto"/>
          <w:szCs w:val="21"/>
          <w:highlight w:val="none"/>
          <w:u w:val="single"/>
        </w:rPr>
        <w:t>12.6</w:t>
      </w:r>
      <w:r>
        <w:rPr>
          <w:color w:val="auto"/>
          <w:szCs w:val="21"/>
          <w:highlight w:val="none"/>
        </w:rPr>
        <w:t>款的规定，在评比截止时间与评比文件中规定的评比有效期终止日之间的这段时间内，评比供应商不能撤回评比响应文件，否则其评比保证金将被没收。</w:t>
      </w:r>
    </w:p>
    <w:p>
      <w:pPr>
        <w:adjustRightInd w:val="0"/>
        <w:snapToGrid w:val="0"/>
        <w:spacing w:line="440" w:lineRule="exact"/>
        <w:ind w:left="420" w:hanging="420" w:hangingChars="200"/>
        <w:rPr>
          <w:color w:val="auto"/>
          <w:szCs w:val="21"/>
          <w:highlight w:val="none"/>
        </w:rPr>
      </w:pPr>
    </w:p>
    <w:p>
      <w:pPr>
        <w:pStyle w:val="3"/>
        <w:spacing w:line="440" w:lineRule="exact"/>
        <w:rPr>
          <w:rFonts w:ascii="Times New Roman" w:hAnsi="Times New Roman" w:eastAsia="宋体"/>
          <w:color w:val="auto"/>
          <w:sz w:val="28"/>
          <w:szCs w:val="28"/>
          <w:highlight w:val="none"/>
        </w:rPr>
      </w:pPr>
      <w:bookmarkStart w:id="33" w:name="_Toc24455234"/>
      <w:bookmarkStart w:id="34" w:name="_Toc24083814"/>
      <w:bookmarkStart w:id="35" w:name="_Toc33340839"/>
      <w:bookmarkStart w:id="36" w:name="_Toc68963465"/>
      <w:bookmarkStart w:id="37" w:name="_Toc10213431"/>
      <w:r>
        <w:rPr>
          <w:rFonts w:ascii="Times New Roman" w:hAnsi="Times New Roman" w:eastAsia="宋体"/>
          <w:color w:val="auto"/>
          <w:sz w:val="28"/>
          <w:szCs w:val="28"/>
          <w:highlight w:val="none"/>
        </w:rPr>
        <w:t>五、评比与评</w:t>
      </w:r>
      <w:bookmarkEnd w:id="33"/>
      <w:bookmarkEnd w:id="34"/>
      <w:bookmarkEnd w:id="35"/>
      <w:bookmarkEnd w:id="36"/>
      <w:r>
        <w:rPr>
          <w:rFonts w:ascii="Times New Roman" w:hAnsi="Times New Roman" w:eastAsia="宋体"/>
          <w:color w:val="auto"/>
          <w:sz w:val="28"/>
          <w:szCs w:val="28"/>
          <w:highlight w:val="none"/>
        </w:rPr>
        <w:t>审</w:t>
      </w:r>
      <w:bookmarkEnd w:id="37"/>
    </w:p>
    <w:p>
      <w:pPr>
        <w:adjustRightInd w:val="0"/>
        <w:snapToGrid w:val="0"/>
        <w:spacing w:line="440" w:lineRule="exact"/>
        <w:rPr>
          <w:b/>
          <w:bCs/>
          <w:color w:val="auto"/>
          <w:szCs w:val="21"/>
          <w:highlight w:val="none"/>
        </w:rPr>
      </w:pPr>
      <w:r>
        <w:rPr>
          <w:b/>
          <w:bCs/>
          <w:color w:val="auto"/>
          <w:szCs w:val="21"/>
          <w:highlight w:val="none"/>
        </w:rPr>
        <w:t>18.  评比</w:t>
      </w:r>
    </w:p>
    <w:p>
      <w:pPr>
        <w:adjustRightInd w:val="0"/>
        <w:snapToGrid w:val="0"/>
        <w:spacing w:line="440" w:lineRule="exact"/>
        <w:rPr>
          <w:color w:val="auto"/>
          <w:szCs w:val="21"/>
          <w:highlight w:val="none"/>
        </w:rPr>
      </w:pPr>
      <w:r>
        <w:rPr>
          <w:color w:val="auto"/>
          <w:szCs w:val="21"/>
          <w:highlight w:val="none"/>
        </w:rPr>
        <w:t>18.1代理机构将按照评比邀请书及本须知前附表中规定的时间和地点举行评比会议。</w:t>
      </w:r>
    </w:p>
    <w:p>
      <w:pPr>
        <w:adjustRightInd w:val="0"/>
        <w:snapToGrid w:val="0"/>
        <w:spacing w:line="440" w:lineRule="exact"/>
        <w:ind w:left="420" w:hanging="420" w:hangingChars="200"/>
        <w:rPr>
          <w:color w:val="auto"/>
          <w:szCs w:val="21"/>
          <w:highlight w:val="none"/>
        </w:rPr>
      </w:pPr>
      <w:r>
        <w:rPr>
          <w:color w:val="auto"/>
          <w:szCs w:val="21"/>
          <w:highlight w:val="none"/>
        </w:rPr>
        <w:t>18.2评比会议将邀请所有评比供应商参加，评比当天评比供应商代表应签名报到，以证明其出席评比会议。评比供应商通过邮寄方式递交的响应文件或未派代表出席评比会议的，将视为默认评比结果。</w:t>
      </w:r>
    </w:p>
    <w:p>
      <w:pPr>
        <w:adjustRightInd w:val="0"/>
        <w:snapToGrid w:val="0"/>
        <w:spacing w:line="440" w:lineRule="exact"/>
        <w:rPr>
          <w:color w:val="auto"/>
          <w:szCs w:val="21"/>
          <w:highlight w:val="none"/>
        </w:rPr>
      </w:pPr>
      <w:r>
        <w:rPr>
          <w:color w:val="auto"/>
          <w:szCs w:val="21"/>
          <w:highlight w:val="none"/>
        </w:rPr>
        <w:t>18.3按规定提交合格的撤回通知的评比响应文件不予开封，并退回给评比供应商。</w:t>
      </w:r>
    </w:p>
    <w:p>
      <w:pPr>
        <w:adjustRightInd w:val="0"/>
        <w:snapToGrid w:val="0"/>
        <w:spacing w:line="440" w:lineRule="exact"/>
        <w:ind w:firstLine="420" w:firstLineChars="200"/>
        <w:rPr>
          <w:color w:val="auto"/>
          <w:szCs w:val="21"/>
          <w:highlight w:val="none"/>
        </w:rPr>
      </w:pPr>
      <w:r>
        <w:rPr>
          <w:color w:val="auto"/>
          <w:szCs w:val="21"/>
          <w:highlight w:val="none"/>
        </w:rPr>
        <w:t xml:space="preserve">评比响应文件有下列情况之一的，采购人不予接受： </w:t>
      </w:r>
    </w:p>
    <w:p>
      <w:pPr>
        <w:adjustRightInd w:val="0"/>
        <w:snapToGrid w:val="0"/>
        <w:spacing w:line="440" w:lineRule="exact"/>
        <w:ind w:firstLine="420" w:firstLineChars="200"/>
        <w:rPr>
          <w:color w:val="auto"/>
          <w:szCs w:val="21"/>
          <w:highlight w:val="none"/>
        </w:rPr>
      </w:pPr>
      <w:r>
        <w:rPr>
          <w:color w:val="auto"/>
          <w:szCs w:val="21"/>
          <w:highlight w:val="none"/>
        </w:rPr>
        <w:t>1）评比响应文件逾期送达的；</w:t>
      </w:r>
    </w:p>
    <w:p>
      <w:pPr>
        <w:adjustRightInd w:val="0"/>
        <w:snapToGrid w:val="0"/>
        <w:spacing w:line="440" w:lineRule="exact"/>
        <w:ind w:firstLine="420" w:firstLineChars="200"/>
        <w:rPr>
          <w:color w:val="auto"/>
          <w:szCs w:val="21"/>
          <w:highlight w:val="none"/>
        </w:rPr>
      </w:pPr>
      <w:r>
        <w:rPr>
          <w:color w:val="auto"/>
          <w:szCs w:val="21"/>
          <w:highlight w:val="none"/>
        </w:rPr>
        <w:t>2）评比响应文件未进行密封的。</w:t>
      </w:r>
    </w:p>
    <w:p>
      <w:pPr>
        <w:adjustRightInd w:val="0"/>
        <w:snapToGrid w:val="0"/>
        <w:spacing w:line="440" w:lineRule="exact"/>
        <w:rPr>
          <w:color w:val="auto"/>
          <w:szCs w:val="21"/>
          <w:highlight w:val="none"/>
        </w:rPr>
      </w:pPr>
      <w:r>
        <w:rPr>
          <w:color w:val="auto"/>
          <w:szCs w:val="21"/>
          <w:highlight w:val="none"/>
        </w:rPr>
        <w:t>18.4评比程序：</w:t>
      </w:r>
    </w:p>
    <w:p>
      <w:pPr>
        <w:numPr>
          <w:ilvl w:val="0"/>
          <w:numId w:val="9"/>
        </w:numPr>
        <w:adjustRightInd w:val="0"/>
        <w:snapToGrid w:val="0"/>
        <w:spacing w:line="440" w:lineRule="exact"/>
        <w:rPr>
          <w:color w:val="auto"/>
          <w:szCs w:val="21"/>
          <w:highlight w:val="none"/>
        </w:rPr>
      </w:pPr>
      <w:r>
        <w:rPr>
          <w:color w:val="auto"/>
          <w:szCs w:val="21"/>
          <w:highlight w:val="none"/>
        </w:rPr>
        <w:t>评比会议将由代理机构组织并主持；</w:t>
      </w:r>
    </w:p>
    <w:p>
      <w:pPr>
        <w:numPr>
          <w:ilvl w:val="0"/>
          <w:numId w:val="9"/>
        </w:numPr>
        <w:adjustRightInd w:val="0"/>
        <w:snapToGrid w:val="0"/>
        <w:spacing w:line="440" w:lineRule="exact"/>
        <w:rPr>
          <w:color w:val="auto"/>
          <w:szCs w:val="21"/>
          <w:highlight w:val="none"/>
        </w:rPr>
      </w:pPr>
      <w:r>
        <w:rPr>
          <w:color w:val="auto"/>
          <w:szCs w:val="21"/>
          <w:highlight w:val="none"/>
        </w:rPr>
        <w:t>评比供应商代表或公证监督机构将检查评比响应文件的密封情况；</w:t>
      </w:r>
    </w:p>
    <w:p>
      <w:pPr>
        <w:numPr>
          <w:ilvl w:val="0"/>
          <w:numId w:val="9"/>
        </w:numPr>
        <w:adjustRightInd w:val="0"/>
        <w:snapToGrid w:val="0"/>
        <w:spacing w:line="440" w:lineRule="exact"/>
        <w:rPr>
          <w:color w:val="auto"/>
          <w:szCs w:val="21"/>
          <w:highlight w:val="none"/>
        </w:rPr>
      </w:pPr>
      <w:r>
        <w:rPr>
          <w:color w:val="auto"/>
          <w:szCs w:val="21"/>
          <w:highlight w:val="none"/>
        </w:rPr>
        <w:t>经确认无误，由工作人员当众拆封，宣读评比供应商名称、评比报价、修改内容（如有）以及采购人认为适当的其他内容；</w:t>
      </w:r>
    </w:p>
    <w:p>
      <w:pPr>
        <w:adjustRightInd w:val="0"/>
        <w:snapToGrid w:val="0"/>
        <w:spacing w:line="440" w:lineRule="exact"/>
        <w:ind w:left="-420" w:firstLine="840" w:firstLineChars="400"/>
        <w:rPr>
          <w:color w:val="auto"/>
          <w:szCs w:val="21"/>
          <w:highlight w:val="none"/>
        </w:rPr>
      </w:pPr>
      <w:r>
        <w:rPr>
          <w:color w:val="auto"/>
          <w:szCs w:val="21"/>
          <w:highlight w:val="none"/>
        </w:rPr>
        <w:t>4）按规定提交合格撤回通知的评比响应文件不予开封；</w:t>
      </w:r>
    </w:p>
    <w:p>
      <w:pPr>
        <w:adjustRightInd w:val="0"/>
        <w:snapToGrid w:val="0"/>
        <w:spacing w:line="440" w:lineRule="exact"/>
        <w:ind w:left="-420" w:firstLine="840" w:firstLineChars="400"/>
        <w:rPr>
          <w:color w:val="auto"/>
          <w:szCs w:val="21"/>
          <w:highlight w:val="none"/>
        </w:rPr>
      </w:pPr>
      <w:r>
        <w:rPr>
          <w:color w:val="auto"/>
          <w:szCs w:val="21"/>
          <w:highlight w:val="none"/>
        </w:rPr>
        <w:t>5）由代理机构整理评比记录并由评比供应商代表现场签字确认。</w:t>
      </w:r>
    </w:p>
    <w:p>
      <w:pPr>
        <w:adjustRightInd w:val="0"/>
        <w:snapToGrid w:val="0"/>
        <w:spacing w:line="440" w:lineRule="exact"/>
        <w:rPr>
          <w:b/>
          <w:bCs/>
          <w:color w:val="auto"/>
          <w:szCs w:val="21"/>
          <w:highlight w:val="none"/>
        </w:rPr>
      </w:pPr>
      <w:r>
        <w:rPr>
          <w:b/>
          <w:bCs/>
          <w:color w:val="auto"/>
          <w:szCs w:val="21"/>
          <w:highlight w:val="none"/>
        </w:rPr>
        <w:t>19.  评审委员会与评审</w:t>
      </w:r>
    </w:p>
    <w:p>
      <w:pPr>
        <w:adjustRightInd w:val="0"/>
        <w:snapToGrid w:val="0"/>
        <w:spacing w:line="440" w:lineRule="exact"/>
        <w:ind w:left="420" w:hanging="420" w:hangingChars="200"/>
        <w:rPr>
          <w:color w:val="auto"/>
          <w:szCs w:val="21"/>
          <w:highlight w:val="none"/>
        </w:rPr>
      </w:pPr>
      <w:r>
        <w:rPr>
          <w:color w:val="auto"/>
          <w:szCs w:val="21"/>
          <w:highlight w:val="none"/>
        </w:rPr>
        <w:t>19.1代理机构将按照采购人相关管理办法组建评审委员会。</w:t>
      </w:r>
    </w:p>
    <w:p>
      <w:pPr>
        <w:adjustRightInd w:val="0"/>
        <w:snapToGrid w:val="0"/>
        <w:spacing w:line="440" w:lineRule="exact"/>
        <w:ind w:left="525" w:hanging="525" w:hangingChars="250"/>
        <w:rPr>
          <w:color w:val="auto"/>
          <w:szCs w:val="21"/>
          <w:highlight w:val="none"/>
        </w:rPr>
      </w:pPr>
      <w:r>
        <w:rPr>
          <w:color w:val="auto"/>
          <w:szCs w:val="21"/>
          <w:highlight w:val="none"/>
        </w:rPr>
        <w:t>19.2评审由评审委员会负责，对所有评比响应文件的评估都将采用相同的程序和标准。</w:t>
      </w:r>
    </w:p>
    <w:p>
      <w:pPr>
        <w:adjustRightInd w:val="0"/>
        <w:snapToGrid w:val="0"/>
        <w:spacing w:line="440" w:lineRule="exact"/>
        <w:rPr>
          <w:b/>
          <w:bCs/>
          <w:color w:val="auto"/>
          <w:szCs w:val="21"/>
          <w:highlight w:val="none"/>
        </w:rPr>
      </w:pPr>
      <w:r>
        <w:rPr>
          <w:b/>
          <w:bCs/>
          <w:color w:val="auto"/>
          <w:szCs w:val="21"/>
          <w:highlight w:val="none"/>
        </w:rPr>
        <w:t>20.  初步审查</w:t>
      </w:r>
    </w:p>
    <w:p>
      <w:pPr>
        <w:pStyle w:val="11"/>
        <w:adjustRightInd w:val="0"/>
        <w:snapToGrid w:val="0"/>
        <w:spacing w:line="440" w:lineRule="exact"/>
        <w:ind w:firstLine="0" w:firstLineChars="0"/>
        <w:rPr>
          <w:color w:val="auto"/>
          <w:highlight w:val="none"/>
        </w:rPr>
      </w:pPr>
      <w:r>
        <w:rPr>
          <w:b/>
          <w:bCs/>
          <w:color w:val="auto"/>
          <w:szCs w:val="21"/>
          <w:highlight w:val="none"/>
        </w:rPr>
        <w:t>20.1资格性审查</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3402" w:type="dxa"/>
            <w:gridSpan w:val="2"/>
            <w:vAlign w:val="center"/>
          </w:tcPr>
          <w:p>
            <w:pPr>
              <w:adjustRightInd w:val="0"/>
              <w:snapToGrid w:val="0"/>
              <w:spacing w:line="440" w:lineRule="exact"/>
              <w:jc w:val="center"/>
              <w:rPr>
                <w:b/>
                <w:color w:val="auto"/>
                <w:kern w:val="0"/>
                <w:szCs w:val="21"/>
                <w:highlight w:val="none"/>
              </w:rPr>
            </w:pPr>
            <w:r>
              <w:rPr>
                <w:b/>
                <w:color w:val="auto"/>
                <w:kern w:val="0"/>
                <w:szCs w:val="21"/>
                <w:highlight w:val="none"/>
              </w:rPr>
              <w:t>检查因素</w:t>
            </w:r>
          </w:p>
        </w:tc>
        <w:tc>
          <w:tcPr>
            <w:tcW w:w="5958" w:type="dxa"/>
            <w:vAlign w:val="center"/>
          </w:tcPr>
          <w:p>
            <w:pPr>
              <w:adjustRightInd w:val="0"/>
              <w:snapToGrid w:val="0"/>
              <w:spacing w:line="440" w:lineRule="exact"/>
              <w:jc w:val="center"/>
              <w:rPr>
                <w:b/>
                <w:color w:val="auto"/>
                <w:kern w:val="0"/>
                <w:szCs w:val="21"/>
                <w:highlight w:val="none"/>
              </w:rPr>
            </w:pPr>
            <w:r>
              <w:rPr>
                <w:b/>
                <w:color w:val="auto"/>
                <w:kern w:val="0"/>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restart"/>
            <w:vAlign w:val="center"/>
          </w:tcPr>
          <w:p>
            <w:pPr>
              <w:adjustRightInd w:val="0"/>
              <w:snapToGrid w:val="0"/>
              <w:spacing w:line="440" w:lineRule="exact"/>
              <w:rPr>
                <w:color w:val="auto"/>
                <w:szCs w:val="21"/>
                <w:highlight w:val="none"/>
              </w:rPr>
            </w:pPr>
            <w:r>
              <w:rPr>
                <w:color w:val="auto"/>
                <w:szCs w:val="21"/>
                <w:highlight w:val="none"/>
              </w:rPr>
              <w:t>《中华人民共和国政府采购法》第二十二条规定</w:t>
            </w:r>
          </w:p>
        </w:tc>
        <w:tc>
          <w:tcPr>
            <w:tcW w:w="2693" w:type="dxa"/>
            <w:vAlign w:val="center"/>
          </w:tcPr>
          <w:p>
            <w:pPr>
              <w:adjustRightInd w:val="0"/>
              <w:snapToGrid w:val="0"/>
              <w:spacing w:line="440" w:lineRule="exact"/>
              <w:rPr>
                <w:color w:val="auto"/>
                <w:szCs w:val="21"/>
                <w:highlight w:val="none"/>
              </w:rPr>
            </w:pPr>
            <w:r>
              <w:rPr>
                <w:color w:val="auto"/>
                <w:szCs w:val="21"/>
                <w:highlight w:val="none"/>
              </w:rPr>
              <w:t>1.具有独立承担民事责任的能力</w:t>
            </w:r>
          </w:p>
        </w:tc>
        <w:tc>
          <w:tcPr>
            <w:tcW w:w="5958" w:type="dxa"/>
            <w:vAlign w:val="center"/>
          </w:tcPr>
          <w:p>
            <w:pPr>
              <w:adjustRightInd w:val="0"/>
              <w:snapToGrid w:val="0"/>
              <w:spacing w:line="440" w:lineRule="exact"/>
              <w:rPr>
                <w:color w:val="auto"/>
                <w:szCs w:val="21"/>
                <w:highlight w:val="none"/>
              </w:rPr>
            </w:pPr>
            <w:r>
              <w:rPr>
                <w:color w:val="auto"/>
                <w:szCs w:val="21"/>
                <w:highlight w:val="none"/>
              </w:rPr>
              <w:t xml:space="preserve">1.供应商法人营业执照（副本）或事业单位法人证书（副本）或个体工商户营业执照或有效的自然人身份证明或社会团体法人登记证书（提供复印件）。 </w:t>
            </w:r>
          </w:p>
          <w:p>
            <w:pPr>
              <w:adjustRightInd w:val="0"/>
              <w:snapToGrid w:val="0"/>
              <w:spacing w:line="440" w:lineRule="exact"/>
              <w:rPr>
                <w:color w:val="auto"/>
                <w:szCs w:val="21"/>
                <w:highlight w:val="none"/>
              </w:rPr>
            </w:pPr>
            <w:r>
              <w:rPr>
                <w:color w:val="auto"/>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pPr>
              <w:adjustRightInd w:val="0"/>
              <w:snapToGrid w:val="0"/>
              <w:spacing w:line="440" w:lineRule="exact"/>
              <w:rPr>
                <w:color w:val="auto"/>
                <w:szCs w:val="21"/>
                <w:highlight w:val="none"/>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2.具有良好的商业信誉和健全的财务会计制度</w:t>
            </w:r>
          </w:p>
        </w:tc>
        <w:tc>
          <w:tcPr>
            <w:tcW w:w="5958" w:type="dxa"/>
            <w:vMerge w:val="restart"/>
            <w:vAlign w:val="center"/>
          </w:tcPr>
          <w:p>
            <w:pPr>
              <w:adjustRightInd w:val="0"/>
              <w:snapToGrid w:val="0"/>
              <w:spacing w:line="440" w:lineRule="exact"/>
              <w:rPr>
                <w:color w:val="auto"/>
                <w:szCs w:val="21"/>
                <w:highlight w:val="none"/>
              </w:rPr>
            </w:pPr>
          </w:p>
          <w:p>
            <w:pPr>
              <w:adjustRightInd w:val="0"/>
              <w:snapToGrid w:val="0"/>
              <w:spacing w:line="440" w:lineRule="exact"/>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提供基本资格条件承诺函（见格式文件）</w:t>
            </w:r>
          </w:p>
          <w:p>
            <w:pPr>
              <w:adjustRightInd w:val="0"/>
              <w:snapToGrid w:val="0"/>
              <w:spacing w:line="440" w:lineRule="exact"/>
              <w:rPr>
                <w:color w:val="auto"/>
                <w:szCs w:val="21"/>
                <w:highlight w:val="none"/>
              </w:rPr>
            </w:pPr>
          </w:p>
          <w:p>
            <w:pPr>
              <w:adjustRightInd w:val="0"/>
              <w:snapToGrid w:val="0"/>
              <w:spacing w:line="440" w:lineRule="exact"/>
              <w:rPr>
                <w:color w:val="auto"/>
                <w:szCs w:val="21"/>
                <w:highlight w:val="none"/>
              </w:rPr>
            </w:pPr>
          </w:p>
          <w:p>
            <w:pPr>
              <w:adjustRightInd w:val="0"/>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pPr>
              <w:adjustRightInd w:val="0"/>
              <w:snapToGrid w:val="0"/>
              <w:spacing w:line="440" w:lineRule="exact"/>
              <w:rPr>
                <w:color w:val="auto"/>
                <w:szCs w:val="21"/>
                <w:highlight w:val="none"/>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3.具有履行合同所必需的设备和专业技术能力</w:t>
            </w:r>
          </w:p>
        </w:tc>
        <w:tc>
          <w:tcPr>
            <w:tcW w:w="5958" w:type="dxa"/>
            <w:vMerge w:val="continue"/>
            <w:vAlign w:val="center"/>
          </w:tcPr>
          <w:p>
            <w:pPr>
              <w:adjustRightInd w:val="0"/>
              <w:snapToGrid w:val="0"/>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09" w:type="dxa"/>
            <w:vMerge w:val="continue"/>
            <w:vAlign w:val="center"/>
          </w:tcPr>
          <w:p>
            <w:pPr>
              <w:adjustRightInd w:val="0"/>
              <w:snapToGrid w:val="0"/>
              <w:spacing w:line="440" w:lineRule="exact"/>
              <w:rPr>
                <w:color w:val="auto"/>
                <w:szCs w:val="21"/>
                <w:highlight w:val="none"/>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4.有依法缴纳税                                                                                                                                                                                                                                                                                                                                                                                                                                                                                                                                                                                                                                                                                                                                                                                                                                                                                                                                                                                                                                                                                                                                                                                                                                                                                                                                                                                                                                                                                                                                                                                                                                                                                                                                                                                                                                                                                                                                                                                                                                                                                                                                                                                                                                                                                                                                                                                                                                                                                                                                                                                                                                                                                                                                                                                                                                                                                                                                                                                                                                                                                                                                                                                                                                                                                                                                                                                                                                                                                                                 收和社会保障金的良好记录</w:t>
            </w:r>
          </w:p>
        </w:tc>
        <w:tc>
          <w:tcPr>
            <w:tcW w:w="5958" w:type="dxa"/>
            <w:vMerge w:val="continue"/>
            <w:vAlign w:val="center"/>
          </w:tcPr>
          <w:p>
            <w:pPr>
              <w:adjustRightInd w:val="0"/>
              <w:snapToGrid w:val="0"/>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pPr>
              <w:adjustRightInd w:val="0"/>
              <w:snapToGrid w:val="0"/>
              <w:spacing w:line="440" w:lineRule="exact"/>
              <w:rPr>
                <w:color w:val="auto"/>
                <w:szCs w:val="21"/>
                <w:highlight w:val="none"/>
                <w:lang w:val="zh-CN"/>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5.参加政府采购活动前三年内，在经营活动中没有重大违法记录（注</w:t>
            </w:r>
            <w:r>
              <w:rPr>
                <w:rFonts w:hint="eastAsia" w:ascii="宋体" w:hAnsi="宋体" w:cs="宋体"/>
                <w:color w:val="auto"/>
                <w:szCs w:val="21"/>
                <w:highlight w:val="none"/>
              </w:rPr>
              <w:t>②</w:t>
            </w:r>
            <w:r>
              <w:rPr>
                <w:color w:val="auto"/>
                <w:szCs w:val="21"/>
                <w:highlight w:val="none"/>
              </w:rPr>
              <w:t>）</w:t>
            </w:r>
          </w:p>
        </w:tc>
        <w:tc>
          <w:tcPr>
            <w:tcW w:w="5958" w:type="dxa"/>
            <w:vMerge w:val="continue"/>
            <w:vAlign w:val="center"/>
          </w:tcPr>
          <w:p>
            <w:pPr>
              <w:adjustRightInd w:val="0"/>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pPr>
              <w:adjustRightInd w:val="0"/>
              <w:snapToGrid w:val="0"/>
              <w:spacing w:line="440" w:lineRule="exact"/>
              <w:rPr>
                <w:color w:val="auto"/>
                <w:szCs w:val="21"/>
                <w:highlight w:val="none"/>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6.法律、行政法规规定的其他条件</w:t>
            </w:r>
          </w:p>
        </w:tc>
        <w:tc>
          <w:tcPr>
            <w:tcW w:w="5958" w:type="dxa"/>
            <w:vAlign w:val="center"/>
          </w:tcPr>
          <w:p>
            <w:pPr>
              <w:adjustRightInd w:val="0"/>
              <w:snapToGrid w:val="0"/>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402" w:type="dxa"/>
            <w:gridSpan w:val="2"/>
            <w:vAlign w:val="center"/>
          </w:tcPr>
          <w:p>
            <w:pPr>
              <w:adjustRightInd w:val="0"/>
              <w:snapToGrid w:val="0"/>
              <w:spacing w:line="440" w:lineRule="exact"/>
              <w:rPr>
                <w:color w:val="auto"/>
                <w:szCs w:val="21"/>
                <w:highlight w:val="none"/>
              </w:rPr>
            </w:pPr>
            <w:r>
              <w:rPr>
                <w:color w:val="auto"/>
                <w:szCs w:val="21"/>
                <w:highlight w:val="none"/>
              </w:rPr>
              <w:t>本项目的特定资格要求</w:t>
            </w:r>
          </w:p>
        </w:tc>
        <w:tc>
          <w:tcPr>
            <w:tcW w:w="5958" w:type="dxa"/>
            <w:vAlign w:val="center"/>
          </w:tcPr>
          <w:p>
            <w:pPr>
              <w:adjustRightInd w:val="0"/>
              <w:snapToGrid w:val="0"/>
              <w:spacing w:line="440" w:lineRule="exact"/>
              <w:rPr>
                <w:color w:val="auto"/>
                <w:szCs w:val="21"/>
                <w:highlight w:val="none"/>
              </w:rPr>
            </w:pPr>
            <w:r>
              <w:rPr>
                <w:rFonts w:hint="eastAsia"/>
                <w:color w:val="auto"/>
                <w:szCs w:val="21"/>
                <w:highlight w:val="none"/>
                <w:lang w:val="en-US" w:eastAsia="zh-CN"/>
              </w:rPr>
              <w:t>无</w:t>
            </w:r>
            <w:r>
              <w:rPr>
                <w:color w:val="auto"/>
                <w:szCs w:val="21"/>
                <w:highlight w:val="none"/>
              </w:rPr>
              <w:t>。</w:t>
            </w:r>
          </w:p>
        </w:tc>
      </w:tr>
    </w:tbl>
    <w:p>
      <w:pPr>
        <w:numPr>
          <w:ilvl w:val="0"/>
          <w:numId w:val="10"/>
        </w:numPr>
        <w:adjustRightInd w:val="0"/>
        <w:snapToGrid w:val="0"/>
        <w:spacing w:line="440" w:lineRule="exact"/>
        <w:ind w:left="0"/>
        <w:rPr>
          <w:color w:val="auto"/>
          <w:kern w:val="0"/>
          <w:szCs w:val="21"/>
          <w:highlight w:val="none"/>
        </w:rPr>
      </w:pPr>
      <w:r>
        <w:rPr>
          <w:color w:val="auto"/>
          <w:kern w:val="0"/>
          <w:szCs w:val="21"/>
          <w:highlight w:val="none"/>
        </w:rPr>
        <w:t>供应商按“多证合一”登记制度办理营业执照的，税务登记证（副本）和社会保险登记证以投</w:t>
      </w:r>
    </w:p>
    <w:p>
      <w:pPr>
        <w:adjustRightInd w:val="0"/>
        <w:snapToGrid w:val="0"/>
        <w:spacing w:line="440" w:lineRule="exact"/>
        <w:rPr>
          <w:color w:val="auto"/>
          <w:kern w:val="0"/>
          <w:szCs w:val="21"/>
          <w:highlight w:val="none"/>
        </w:rPr>
      </w:pPr>
      <w:r>
        <w:rPr>
          <w:color w:val="auto"/>
          <w:kern w:val="0"/>
          <w:szCs w:val="21"/>
          <w:highlight w:val="none"/>
        </w:rPr>
        <w:t>标人所提供的营业执照（副本）复印件为准。</w:t>
      </w:r>
    </w:p>
    <w:p>
      <w:pPr>
        <w:adjustRightInd w:val="0"/>
        <w:snapToGrid w:val="0"/>
        <w:spacing w:line="440" w:lineRule="exact"/>
        <w:ind w:firstLine="420" w:firstLineChars="200"/>
        <w:rPr>
          <w:color w:val="auto"/>
          <w:kern w:val="0"/>
          <w:szCs w:val="21"/>
          <w:highlight w:val="none"/>
        </w:rPr>
      </w:pPr>
      <w:r>
        <w:rPr>
          <w:rFonts w:hint="eastAsia" w:ascii="宋体" w:hAnsi="宋体" w:cs="宋体"/>
          <w:color w:val="auto"/>
          <w:kern w:val="0"/>
          <w:szCs w:val="21"/>
          <w:highlight w:val="none"/>
        </w:rPr>
        <w:t>②</w:t>
      </w:r>
      <w:r>
        <w:rPr>
          <w:rFonts w:hint="default" w:ascii="Times New Roman" w:hAnsi="Times New Roman" w:eastAsia="宋体" w:cs="Times New Roman"/>
          <w:color w:val="auto"/>
          <w:kern w:val="0"/>
          <w:sz w:val="21"/>
          <w:szCs w:val="21"/>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color w:val="auto"/>
          <w:kern w:val="0"/>
          <w:szCs w:val="21"/>
          <w:highlight w:val="none"/>
        </w:rPr>
        <w:t>。</w:t>
      </w:r>
    </w:p>
    <w:p>
      <w:pPr>
        <w:pStyle w:val="11"/>
        <w:adjustRightInd w:val="0"/>
        <w:snapToGrid w:val="0"/>
        <w:spacing w:line="440" w:lineRule="exact"/>
        <w:ind w:firstLine="0" w:firstLineChars="0"/>
        <w:rPr>
          <w:b/>
          <w:bCs/>
          <w:color w:val="auto"/>
          <w:szCs w:val="21"/>
          <w:highlight w:val="none"/>
        </w:rPr>
      </w:pPr>
      <w:r>
        <w:rPr>
          <w:b/>
          <w:bCs/>
          <w:color w:val="auto"/>
          <w:szCs w:val="21"/>
          <w:highlight w:val="none"/>
        </w:rPr>
        <w:t>20.2符合性审查。</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3"/>
        <w:gridCol w:w="1701"/>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b/>
                <w:color w:val="auto"/>
                <w:szCs w:val="21"/>
                <w:highlight w:val="none"/>
              </w:rPr>
            </w:pPr>
            <w:r>
              <w:rPr>
                <w:b/>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b/>
                <w:color w:val="auto"/>
                <w:szCs w:val="21"/>
                <w:highlight w:val="none"/>
              </w:rPr>
            </w:pPr>
            <w:r>
              <w:rPr>
                <w:b/>
                <w:color w:val="auto"/>
                <w:szCs w:val="21"/>
                <w:highlight w:val="none"/>
              </w:rPr>
              <w:t>评审因素</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b/>
                <w:color w:val="auto"/>
                <w:szCs w:val="21"/>
                <w:highlight w:val="none"/>
              </w:rPr>
            </w:pPr>
            <w:r>
              <w:rPr>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color w:val="auto"/>
                <w:szCs w:val="21"/>
                <w:highlight w:val="none"/>
              </w:rPr>
              <w:t>1</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有效性审查</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响应文件签署或盖章</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响应文件上法定代表人（或其授权代表）或自然人（供应商为自然人）的签署或盖章齐全。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响应方案</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报价唯一</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只能在最高限价内报价且只有一个有效报价，不得提交选择性报价。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color w:val="auto"/>
                <w:szCs w:val="21"/>
                <w:highlight w:val="none"/>
              </w:rPr>
              <w:t>2</w:t>
            </w: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完整性审查</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响应文件份数</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响应文件正、副本数量（含电子文档）符合评比文件要求。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5"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color w:val="auto"/>
                <w:szCs w:val="21"/>
                <w:highlight w:val="none"/>
              </w:rPr>
              <w:t>3</w:t>
            </w:r>
          </w:p>
        </w:tc>
        <w:tc>
          <w:tcPr>
            <w:tcW w:w="135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color w:val="auto"/>
                <w:szCs w:val="21"/>
                <w:highlight w:val="none"/>
              </w:rPr>
              <w:t>评比文件的响应程度审查</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响应文件内容</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对评比文件“第四章3.商务要求”的内容作出响应或承诺。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p>
        </w:tc>
        <w:tc>
          <w:tcPr>
            <w:tcW w:w="1353" w:type="dxa"/>
            <w:vMerge w:val="continue"/>
            <w:tcBorders>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响应有效期</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响应有效期为评比截止时间起90天。</w:t>
            </w:r>
          </w:p>
        </w:tc>
      </w:tr>
    </w:tbl>
    <w:p>
      <w:pPr>
        <w:adjustRightInd w:val="0"/>
        <w:snapToGrid w:val="0"/>
        <w:spacing w:line="440" w:lineRule="exact"/>
        <w:ind w:left="422" w:hanging="422" w:hangingChars="200"/>
        <w:rPr>
          <w:b/>
          <w:bCs/>
          <w:color w:val="auto"/>
          <w:szCs w:val="21"/>
          <w:highlight w:val="none"/>
        </w:rPr>
      </w:pPr>
      <w:r>
        <w:rPr>
          <w:b/>
          <w:bCs/>
          <w:color w:val="auto"/>
          <w:szCs w:val="21"/>
          <w:highlight w:val="none"/>
        </w:rPr>
        <w:t>20.3在评比采购中，出现下列情形之一的，应予拒绝：</w:t>
      </w:r>
    </w:p>
    <w:p>
      <w:pPr>
        <w:adjustRightInd w:val="0"/>
        <w:snapToGrid w:val="0"/>
        <w:spacing w:line="440" w:lineRule="exact"/>
        <w:rPr>
          <w:color w:val="auto"/>
          <w:szCs w:val="21"/>
          <w:highlight w:val="none"/>
        </w:rPr>
      </w:pPr>
      <w:r>
        <w:rPr>
          <w:color w:val="auto"/>
          <w:szCs w:val="21"/>
          <w:highlight w:val="none"/>
        </w:rPr>
        <w:t>1）出现影响采购公正的违法、违规行为的；</w:t>
      </w:r>
    </w:p>
    <w:p>
      <w:pPr>
        <w:adjustRightInd w:val="0"/>
        <w:snapToGrid w:val="0"/>
        <w:spacing w:line="440" w:lineRule="exact"/>
        <w:rPr>
          <w:color w:val="auto"/>
          <w:szCs w:val="21"/>
          <w:highlight w:val="none"/>
        </w:rPr>
      </w:pPr>
      <w:r>
        <w:rPr>
          <w:color w:val="auto"/>
          <w:szCs w:val="21"/>
          <w:highlight w:val="none"/>
        </w:rPr>
        <w:t>2）评比供应商的报价均超过了采购预算，采购人不能支付的。</w:t>
      </w:r>
    </w:p>
    <w:p>
      <w:pPr>
        <w:adjustRightInd w:val="0"/>
        <w:snapToGrid w:val="0"/>
        <w:spacing w:line="440" w:lineRule="exact"/>
        <w:ind w:left="420" w:hanging="420" w:hangingChars="200"/>
        <w:rPr>
          <w:color w:val="auto"/>
          <w:szCs w:val="21"/>
          <w:highlight w:val="none"/>
        </w:rPr>
      </w:pPr>
      <w:r>
        <w:rPr>
          <w:color w:val="auto"/>
          <w:szCs w:val="21"/>
          <w:highlight w:val="none"/>
        </w:rPr>
        <w:t>20.4评审前，评审委员会将审查每一评比响应文件是否对评比文件提出的所有实质性要求和条件做出</w:t>
      </w:r>
    </w:p>
    <w:p>
      <w:pPr>
        <w:adjustRightInd w:val="0"/>
        <w:snapToGrid w:val="0"/>
        <w:spacing w:line="440" w:lineRule="exact"/>
        <w:ind w:left="420" w:hanging="420" w:hangingChars="200"/>
        <w:rPr>
          <w:color w:val="auto"/>
          <w:szCs w:val="21"/>
          <w:highlight w:val="none"/>
        </w:rPr>
      </w:pPr>
      <w:r>
        <w:rPr>
          <w:color w:val="auto"/>
          <w:szCs w:val="21"/>
          <w:highlight w:val="none"/>
        </w:rPr>
        <w:t>响应，未能在实质性上响应的评比，将按无效处理。只有通过初步审查的评比响应文件才能进入下一</w:t>
      </w:r>
    </w:p>
    <w:p>
      <w:pPr>
        <w:adjustRightInd w:val="0"/>
        <w:snapToGrid w:val="0"/>
        <w:spacing w:line="440" w:lineRule="exact"/>
        <w:ind w:left="420" w:hanging="420" w:hangingChars="200"/>
        <w:rPr>
          <w:color w:val="auto"/>
          <w:szCs w:val="21"/>
          <w:highlight w:val="none"/>
        </w:rPr>
      </w:pPr>
      <w:r>
        <w:rPr>
          <w:color w:val="auto"/>
          <w:szCs w:val="21"/>
          <w:highlight w:val="none"/>
        </w:rPr>
        <w:t>步评审程序。</w:t>
      </w:r>
    </w:p>
    <w:p>
      <w:pPr>
        <w:adjustRightInd w:val="0"/>
        <w:snapToGrid w:val="0"/>
        <w:spacing w:line="440" w:lineRule="exact"/>
        <w:ind w:left="422" w:hanging="422" w:hangingChars="200"/>
        <w:rPr>
          <w:b/>
          <w:bCs/>
          <w:color w:val="auto"/>
          <w:szCs w:val="21"/>
          <w:highlight w:val="none"/>
        </w:rPr>
      </w:pPr>
      <w:r>
        <w:rPr>
          <w:b/>
          <w:bCs/>
          <w:color w:val="auto"/>
          <w:szCs w:val="21"/>
          <w:highlight w:val="none"/>
        </w:rPr>
        <w:t>20.5评审委员会根据评比文件要求，审查并逐项列出评比响应文件的全部偏差。下列情况属于重大偏</w:t>
      </w:r>
    </w:p>
    <w:p>
      <w:pPr>
        <w:adjustRightInd w:val="0"/>
        <w:snapToGrid w:val="0"/>
        <w:spacing w:line="440" w:lineRule="exact"/>
        <w:ind w:left="422" w:hanging="422" w:hangingChars="200"/>
        <w:rPr>
          <w:b/>
          <w:bCs/>
          <w:color w:val="auto"/>
          <w:szCs w:val="21"/>
          <w:highlight w:val="none"/>
        </w:rPr>
      </w:pPr>
      <w:r>
        <w:rPr>
          <w:b/>
          <w:bCs/>
          <w:color w:val="auto"/>
          <w:szCs w:val="21"/>
          <w:highlight w:val="none"/>
        </w:rPr>
        <w:t>差：</w:t>
      </w:r>
    </w:p>
    <w:p>
      <w:pPr>
        <w:numPr>
          <w:ilvl w:val="0"/>
          <w:numId w:val="11"/>
        </w:numPr>
        <w:adjustRightInd w:val="0"/>
        <w:snapToGrid w:val="0"/>
        <w:spacing w:line="440" w:lineRule="exact"/>
        <w:ind w:left="0"/>
        <w:rPr>
          <w:color w:val="auto"/>
          <w:szCs w:val="21"/>
          <w:highlight w:val="none"/>
        </w:rPr>
      </w:pPr>
      <w:r>
        <w:rPr>
          <w:color w:val="auto"/>
          <w:szCs w:val="21"/>
          <w:highlight w:val="none"/>
        </w:rPr>
        <w:t>评比响应文件内容不完整的；</w:t>
      </w:r>
    </w:p>
    <w:p>
      <w:pPr>
        <w:numPr>
          <w:ilvl w:val="0"/>
          <w:numId w:val="11"/>
        </w:numPr>
        <w:adjustRightInd w:val="0"/>
        <w:snapToGrid w:val="0"/>
        <w:spacing w:line="440" w:lineRule="exact"/>
        <w:ind w:left="0"/>
        <w:rPr>
          <w:color w:val="auto"/>
          <w:szCs w:val="21"/>
          <w:highlight w:val="none"/>
        </w:rPr>
      </w:pPr>
      <w:r>
        <w:rPr>
          <w:color w:val="auto"/>
          <w:szCs w:val="21"/>
          <w:highlight w:val="none"/>
        </w:rPr>
        <w:t>评比供应商资格不符合评比文件要求的；</w:t>
      </w:r>
    </w:p>
    <w:p>
      <w:pPr>
        <w:numPr>
          <w:ilvl w:val="0"/>
          <w:numId w:val="11"/>
        </w:numPr>
        <w:adjustRightInd w:val="0"/>
        <w:snapToGrid w:val="0"/>
        <w:spacing w:line="440" w:lineRule="exact"/>
        <w:ind w:left="0"/>
        <w:rPr>
          <w:color w:val="auto"/>
          <w:szCs w:val="21"/>
          <w:highlight w:val="none"/>
        </w:rPr>
      </w:pPr>
      <w:r>
        <w:rPr>
          <w:color w:val="auto"/>
          <w:szCs w:val="21"/>
          <w:highlight w:val="none"/>
        </w:rPr>
        <w:t>评比响应文件没有法定代表人（或其授权代表）或自然人（供应商为自然人）的签署或加盖公章；</w:t>
      </w:r>
    </w:p>
    <w:p>
      <w:pPr>
        <w:numPr>
          <w:ilvl w:val="0"/>
          <w:numId w:val="11"/>
        </w:numPr>
        <w:adjustRightInd w:val="0"/>
        <w:snapToGrid w:val="0"/>
        <w:spacing w:line="440" w:lineRule="exact"/>
        <w:ind w:left="0"/>
        <w:rPr>
          <w:color w:val="auto"/>
          <w:szCs w:val="21"/>
          <w:highlight w:val="none"/>
        </w:rPr>
      </w:pPr>
      <w:r>
        <w:rPr>
          <w:color w:val="auto"/>
          <w:szCs w:val="21"/>
          <w:highlight w:val="none"/>
        </w:rPr>
        <w:t>评比响应文件中附有采购人不能接受的条件或对合同中约定的采购人和评比供应商的义务有重大的限制，且纠正这些偏差将会对其他实质上响应评比文件要求的评比供应商的竞争地位产生不公正的影响；</w:t>
      </w:r>
    </w:p>
    <w:p>
      <w:pPr>
        <w:numPr>
          <w:ilvl w:val="0"/>
          <w:numId w:val="11"/>
        </w:numPr>
        <w:adjustRightInd w:val="0"/>
        <w:snapToGrid w:val="0"/>
        <w:spacing w:line="440" w:lineRule="exact"/>
        <w:ind w:left="0"/>
        <w:rPr>
          <w:color w:val="auto"/>
          <w:szCs w:val="21"/>
          <w:highlight w:val="none"/>
        </w:rPr>
      </w:pPr>
      <w:r>
        <w:rPr>
          <w:color w:val="auto"/>
          <w:szCs w:val="21"/>
          <w:highlight w:val="none"/>
        </w:rPr>
        <w:t>不符合评比文件规定的其他实质性要求。</w:t>
      </w:r>
    </w:p>
    <w:p>
      <w:pPr>
        <w:adjustRightInd w:val="0"/>
        <w:snapToGrid w:val="0"/>
        <w:spacing w:line="440" w:lineRule="exact"/>
        <w:rPr>
          <w:b/>
          <w:color w:val="auto"/>
          <w:szCs w:val="21"/>
          <w:highlight w:val="none"/>
        </w:rPr>
      </w:pPr>
      <w:r>
        <w:rPr>
          <w:color w:val="auto"/>
          <w:szCs w:val="21"/>
          <w:highlight w:val="none"/>
        </w:rPr>
        <w:t>相应评比文件有上述情形之一的，即构成未对评比文件做出实质性响应，将按无效处理，不允许评比供应商通过修改或撤消其不符合要求的偏差，使之成为具有响应性的评比。</w:t>
      </w:r>
    </w:p>
    <w:p>
      <w:pPr>
        <w:adjustRightInd w:val="0"/>
        <w:snapToGrid w:val="0"/>
        <w:spacing w:line="440" w:lineRule="exact"/>
        <w:rPr>
          <w:b/>
          <w:bCs/>
          <w:color w:val="auto"/>
          <w:szCs w:val="21"/>
          <w:highlight w:val="none"/>
        </w:rPr>
      </w:pPr>
      <w:r>
        <w:rPr>
          <w:b/>
          <w:bCs/>
          <w:color w:val="auto"/>
          <w:szCs w:val="21"/>
          <w:highlight w:val="none"/>
        </w:rPr>
        <w:t>21．错误的修正</w:t>
      </w:r>
    </w:p>
    <w:p>
      <w:pPr>
        <w:adjustRightInd w:val="0"/>
        <w:snapToGrid w:val="0"/>
        <w:spacing w:line="440" w:lineRule="exact"/>
        <w:ind w:left="525" w:hanging="525" w:hangingChars="250"/>
        <w:rPr>
          <w:color w:val="auto"/>
          <w:szCs w:val="21"/>
          <w:highlight w:val="none"/>
        </w:rPr>
      </w:pPr>
      <w:r>
        <w:rPr>
          <w:color w:val="auto"/>
          <w:szCs w:val="21"/>
          <w:highlight w:val="none"/>
        </w:rPr>
        <w:t>21.1对于实质上符合评比文件要求的评比响应文件，评审委员会将对其报价进行校核，并对有算术性差错的给予修正。修正的原则为：</w:t>
      </w:r>
    </w:p>
    <w:p>
      <w:pPr>
        <w:numPr>
          <w:ilvl w:val="2"/>
          <w:numId w:val="12"/>
        </w:numPr>
        <w:adjustRightInd w:val="0"/>
        <w:snapToGrid w:val="0"/>
        <w:spacing w:line="440" w:lineRule="exact"/>
        <w:rPr>
          <w:color w:val="auto"/>
          <w:szCs w:val="21"/>
          <w:highlight w:val="none"/>
        </w:rPr>
      </w:pPr>
      <w:r>
        <w:rPr>
          <w:color w:val="auto"/>
          <w:szCs w:val="21"/>
          <w:highlight w:val="none"/>
        </w:rPr>
        <w:t>如果用数字表示的数额与用文字表示的数额不一致时，以文字数额为准。</w:t>
      </w:r>
    </w:p>
    <w:p>
      <w:pPr>
        <w:numPr>
          <w:ilvl w:val="2"/>
          <w:numId w:val="12"/>
        </w:numPr>
        <w:adjustRightInd w:val="0"/>
        <w:snapToGrid w:val="0"/>
        <w:spacing w:line="440" w:lineRule="exact"/>
        <w:rPr>
          <w:color w:val="auto"/>
          <w:szCs w:val="21"/>
          <w:highlight w:val="none"/>
        </w:rPr>
      </w:pPr>
      <w:r>
        <w:rPr>
          <w:color w:val="auto"/>
          <w:szCs w:val="21"/>
          <w:highlight w:val="none"/>
        </w:rPr>
        <w:t>当单价与数量的乘积与合价之间不一致时，通常以标出的单价为准。除非评审机构认为有明显的小数点错位，此时应以标出的合价为准，并修改单价。</w:t>
      </w:r>
    </w:p>
    <w:p>
      <w:pPr>
        <w:numPr>
          <w:ilvl w:val="2"/>
          <w:numId w:val="12"/>
        </w:numPr>
        <w:adjustRightInd w:val="0"/>
        <w:snapToGrid w:val="0"/>
        <w:spacing w:line="440" w:lineRule="exact"/>
        <w:rPr>
          <w:color w:val="auto"/>
          <w:szCs w:val="21"/>
          <w:highlight w:val="none"/>
        </w:rPr>
      </w:pPr>
      <w:r>
        <w:rPr>
          <w:color w:val="auto"/>
          <w:szCs w:val="21"/>
          <w:highlight w:val="none"/>
        </w:rPr>
        <w:t>当各细目的合价累计与总价不一致时，应以各细目合价累计数为准，修正总价。</w:t>
      </w:r>
    </w:p>
    <w:p>
      <w:pPr>
        <w:adjustRightInd w:val="0"/>
        <w:snapToGrid w:val="0"/>
        <w:spacing w:line="440" w:lineRule="exact"/>
        <w:ind w:left="420" w:hanging="420" w:hangingChars="200"/>
        <w:rPr>
          <w:color w:val="auto"/>
          <w:szCs w:val="21"/>
          <w:highlight w:val="none"/>
        </w:rPr>
      </w:pPr>
      <w:r>
        <w:rPr>
          <w:color w:val="auto"/>
          <w:szCs w:val="21"/>
          <w:highlight w:val="none"/>
        </w:rPr>
        <w:t>21．2按以上原则对算术性差错的修正，应取得评比供应商的同意，并确认修正后的最终评比价。如果评比供应商拒绝确认，则其评比响应文件将不予评审，评委会有权宣布其评比无效。</w:t>
      </w:r>
    </w:p>
    <w:p>
      <w:pPr>
        <w:adjustRightInd w:val="0"/>
        <w:snapToGrid w:val="0"/>
        <w:spacing w:line="440" w:lineRule="exact"/>
        <w:ind w:left="630" w:hanging="630" w:hangingChars="300"/>
        <w:rPr>
          <w:color w:val="auto"/>
          <w:szCs w:val="21"/>
          <w:highlight w:val="none"/>
        </w:rPr>
      </w:pPr>
      <w:r>
        <w:rPr>
          <w:color w:val="auto"/>
          <w:szCs w:val="21"/>
          <w:highlight w:val="none"/>
        </w:rPr>
        <w:t>21．3评审委员会发现评比供应商的报价明显低于其他评比报价，使得其评比报价可能低于其成本的，将要求该评比供应商做出书面说明并提供相关证明材料。评比供应商如不能合理说明或不能提供相关证明材料的，由评审委员会认定该评比供应商以低于成本报价竞标，其评比将按无效处理。</w:t>
      </w:r>
    </w:p>
    <w:p>
      <w:pPr>
        <w:numPr>
          <w:ilvl w:val="0"/>
          <w:numId w:val="13"/>
        </w:numPr>
        <w:adjustRightInd w:val="0"/>
        <w:snapToGrid w:val="0"/>
        <w:spacing w:line="440" w:lineRule="exact"/>
        <w:rPr>
          <w:b/>
          <w:bCs/>
          <w:color w:val="auto"/>
          <w:szCs w:val="21"/>
          <w:highlight w:val="none"/>
        </w:rPr>
      </w:pPr>
      <w:r>
        <w:rPr>
          <w:b/>
          <w:bCs/>
          <w:color w:val="auto"/>
          <w:szCs w:val="21"/>
          <w:highlight w:val="none"/>
        </w:rPr>
        <w:t>评比响应文件的澄清</w:t>
      </w:r>
    </w:p>
    <w:p>
      <w:pPr>
        <w:adjustRightInd w:val="0"/>
        <w:snapToGrid w:val="0"/>
        <w:spacing w:line="440" w:lineRule="exact"/>
        <w:ind w:left="630" w:hanging="630" w:hangingChars="300"/>
        <w:rPr>
          <w:color w:val="auto"/>
          <w:szCs w:val="21"/>
          <w:highlight w:val="none"/>
        </w:rPr>
      </w:pPr>
      <w:r>
        <w:rPr>
          <w:color w:val="auto"/>
          <w:szCs w:val="21"/>
          <w:highlight w:val="none"/>
        </w:rPr>
        <w:t>评审阶段，评审委员会认为需要时，可要求评比供应商现场澄清其评比响应文件中的问题，或者要求补</w:t>
      </w:r>
    </w:p>
    <w:p>
      <w:pPr>
        <w:adjustRightInd w:val="0"/>
        <w:snapToGrid w:val="0"/>
        <w:spacing w:line="440" w:lineRule="exact"/>
        <w:ind w:left="630" w:hanging="630" w:hangingChars="300"/>
        <w:rPr>
          <w:color w:val="auto"/>
          <w:szCs w:val="21"/>
          <w:highlight w:val="none"/>
        </w:rPr>
      </w:pPr>
      <w:r>
        <w:rPr>
          <w:color w:val="auto"/>
          <w:szCs w:val="21"/>
          <w:highlight w:val="none"/>
        </w:rPr>
        <w:t>充某些资料，对此，评比供应商不得拒绝。</w:t>
      </w:r>
    </w:p>
    <w:p>
      <w:pPr>
        <w:adjustRightInd w:val="0"/>
        <w:snapToGrid w:val="0"/>
        <w:spacing w:line="440" w:lineRule="exact"/>
        <w:rPr>
          <w:b/>
          <w:bCs/>
          <w:color w:val="auto"/>
          <w:szCs w:val="21"/>
          <w:highlight w:val="none"/>
        </w:rPr>
      </w:pPr>
      <w:r>
        <w:rPr>
          <w:b/>
          <w:bCs/>
          <w:color w:val="auto"/>
          <w:szCs w:val="21"/>
          <w:highlight w:val="none"/>
        </w:rPr>
        <w:t>23．评比响应文件的评价与比较</w:t>
      </w:r>
    </w:p>
    <w:p>
      <w:pPr>
        <w:adjustRightInd w:val="0"/>
        <w:snapToGrid w:val="0"/>
        <w:spacing w:line="440" w:lineRule="exact"/>
        <w:rPr>
          <w:color w:val="auto"/>
          <w:szCs w:val="21"/>
          <w:highlight w:val="none"/>
        </w:rPr>
      </w:pPr>
      <w:r>
        <w:rPr>
          <w:color w:val="auto"/>
          <w:szCs w:val="21"/>
          <w:highlight w:val="none"/>
        </w:rPr>
        <w:t>23．1本项目采用综合评分法进行评审，具体评审办法及标准详见第六章。</w:t>
      </w:r>
    </w:p>
    <w:p>
      <w:pPr>
        <w:adjustRightInd w:val="0"/>
        <w:snapToGrid w:val="0"/>
        <w:spacing w:line="440" w:lineRule="exact"/>
        <w:ind w:left="630" w:hanging="630" w:hangingChars="300"/>
        <w:rPr>
          <w:color w:val="auto"/>
          <w:szCs w:val="21"/>
          <w:highlight w:val="none"/>
        </w:rPr>
      </w:pPr>
      <w:r>
        <w:rPr>
          <w:color w:val="auto"/>
          <w:szCs w:val="21"/>
          <w:highlight w:val="none"/>
        </w:rPr>
        <w:t>23．2评委会将根据各评比供应商综合评分得分推荐排名第一名的单位为本项目的成交候选供应商。</w:t>
      </w:r>
    </w:p>
    <w:p>
      <w:pPr>
        <w:adjustRightInd w:val="0"/>
        <w:snapToGrid w:val="0"/>
        <w:spacing w:line="440" w:lineRule="exact"/>
        <w:ind w:left="630" w:hanging="630" w:hangingChars="300"/>
        <w:rPr>
          <w:color w:val="auto"/>
          <w:szCs w:val="21"/>
          <w:highlight w:val="none"/>
        </w:rPr>
      </w:pPr>
    </w:p>
    <w:p>
      <w:pPr>
        <w:pStyle w:val="3"/>
        <w:spacing w:line="440" w:lineRule="exact"/>
        <w:rPr>
          <w:rFonts w:ascii="Times New Roman" w:hAnsi="Times New Roman" w:eastAsia="宋体"/>
          <w:color w:val="auto"/>
          <w:sz w:val="28"/>
          <w:szCs w:val="28"/>
          <w:highlight w:val="none"/>
        </w:rPr>
      </w:pPr>
      <w:bookmarkStart w:id="38" w:name="_Toc68963466"/>
      <w:bookmarkStart w:id="39" w:name="_Toc24456368"/>
      <w:bookmarkStart w:id="40" w:name="_Toc24083815"/>
      <w:bookmarkStart w:id="41" w:name="_Toc24711813"/>
      <w:bookmarkStart w:id="42" w:name="_Toc10213432"/>
      <w:bookmarkStart w:id="43" w:name="_Toc24455235"/>
      <w:bookmarkStart w:id="44" w:name="_Toc33340840"/>
      <w:r>
        <w:rPr>
          <w:rFonts w:ascii="Times New Roman" w:hAnsi="Times New Roman" w:eastAsia="宋体"/>
          <w:color w:val="auto"/>
          <w:sz w:val="28"/>
          <w:szCs w:val="28"/>
          <w:highlight w:val="none"/>
        </w:rPr>
        <w:t>六、合同的授予</w:t>
      </w:r>
      <w:bookmarkEnd w:id="38"/>
      <w:bookmarkEnd w:id="39"/>
      <w:bookmarkEnd w:id="40"/>
      <w:bookmarkEnd w:id="41"/>
      <w:bookmarkEnd w:id="42"/>
      <w:bookmarkEnd w:id="43"/>
      <w:bookmarkEnd w:id="44"/>
    </w:p>
    <w:p>
      <w:pPr>
        <w:adjustRightInd w:val="0"/>
        <w:snapToGrid w:val="0"/>
        <w:spacing w:line="440" w:lineRule="exact"/>
        <w:rPr>
          <w:color w:val="auto"/>
          <w:szCs w:val="21"/>
          <w:highlight w:val="none"/>
        </w:rPr>
      </w:pPr>
      <w:r>
        <w:rPr>
          <w:b/>
          <w:bCs/>
          <w:color w:val="auto"/>
          <w:szCs w:val="21"/>
          <w:highlight w:val="none"/>
        </w:rPr>
        <w:t>24．合同授予的条件</w:t>
      </w:r>
    </w:p>
    <w:p>
      <w:pPr>
        <w:adjustRightInd w:val="0"/>
        <w:snapToGrid w:val="0"/>
        <w:spacing w:line="440" w:lineRule="exact"/>
        <w:rPr>
          <w:color w:val="auto"/>
          <w:szCs w:val="21"/>
          <w:highlight w:val="none"/>
        </w:rPr>
      </w:pPr>
      <w:r>
        <w:rPr>
          <w:color w:val="auto"/>
          <w:szCs w:val="21"/>
          <w:highlight w:val="none"/>
        </w:rPr>
        <w:t>24．1采购人将把合同授予按本须知第</w:t>
      </w:r>
      <w:r>
        <w:rPr>
          <w:color w:val="auto"/>
          <w:szCs w:val="21"/>
          <w:highlight w:val="none"/>
          <w:u w:val="single"/>
        </w:rPr>
        <w:t>23</w:t>
      </w:r>
      <w:r>
        <w:rPr>
          <w:color w:val="auto"/>
          <w:szCs w:val="21"/>
          <w:highlight w:val="none"/>
        </w:rPr>
        <w:t>条规定评选出的评比供应商。</w:t>
      </w:r>
    </w:p>
    <w:p>
      <w:pPr>
        <w:adjustRightInd w:val="0"/>
        <w:snapToGrid w:val="0"/>
        <w:spacing w:line="440" w:lineRule="exact"/>
        <w:rPr>
          <w:color w:val="auto"/>
          <w:szCs w:val="21"/>
          <w:highlight w:val="none"/>
        </w:rPr>
      </w:pPr>
      <w:r>
        <w:rPr>
          <w:color w:val="auto"/>
          <w:szCs w:val="21"/>
          <w:highlight w:val="none"/>
        </w:rPr>
        <w:t>24．2采购人不承诺将合同授予报价最低的评比供应商。</w:t>
      </w:r>
    </w:p>
    <w:p>
      <w:pPr>
        <w:adjustRightInd w:val="0"/>
        <w:snapToGrid w:val="0"/>
        <w:spacing w:line="440" w:lineRule="exact"/>
        <w:rPr>
          <w:color w:val="auto"/>
          <w:szCs w:val="21"/>
          <w:highlight w:val="none"/>
        </w:rPr>
      </w:pPr>
      <w:r>
        <w:rPr>
          <w:b/>
          <w:bCs/>
          <w:color w:val="auto"/>
          <w:szCs w:val="21"/>
          <w:highlight w:val="none"/>
        </w:rPr>
        <w:t>25. 接受和拒绝评比的权利</w:t>
      </w:r>
    </w:p>
    <w:p>
      <w:pPr>
        <w:adjustRightInd w:val="0"/>
        <w:snapToGrid w:val="0"/>
        <w:spacing w:line="440" w:lineRule="exact"/>
        <w:ind w:left="315" w:leftChars="150"/>
        <w:rPr>
          <w:color w:val="auto"/>
          <w:szCs w:val="21"/>
          <w:highlight w:val="none"/>
        </w:rPr>
      </w:pPr>
      <w:r>
        <w:rPr>
          <w:color w:val="auto"/>
          <w:szCs w:val="21"/>
          <w:highlight w:val="none"/>
        </w:rPr>
        <w:t>在成交通知书发出之前，采购人有权接受或拒绝任何评比，宣布无效或拒绝所有评比，并对由此而引起的对评比供应商的影响不承担责任，也不解释原因。</w:t>
      </w:r>
    </w:p>
    <w:p>
      <w:pPr>
        <w:numPr>
          <w:ilvl w:val="0"/>
          <w:numId w:val="14"/>
        </w:numPr>
        <w:adjustRightInd w:val="0"/>
        <w:snapToGrid w:val="0"/>
        <w:spacing w:line="440" w:lineRule="exact"/>
        <w:rPr>
          <w:b/>
          <w:bCs/>
          <w:color w:val="auto"/>
          <w:szCs w:val="21"/>
          <w:highlight w:val="none"/>
        </w:rPr>
      </w:pPr>
      <w:r>
        <w:rPr>
          <w:b/>
          <w:bCs/>
          <w:color w:val="auto"/>
          <w:szCs w:val="21"/>
          <w:highlight w:val="none"/>
        </w:rPr>
        <w:t>成交通知书</w:t>
      </w:r>
    </w:p>
    <w:p>
      <w:pPr>
        <w:adjustRightInd w:val="0"/>
        <w:snapToGrid w:val="0"/>
        <w:spacing w:line="440" w:lineRule="exact"/>
        <w:ind w:left="525" w:hanging="525" w:hangingChars="250"/>
        <w:rPr>
          <w:color w:val="auto"/>
          <w:szCs w:val="21"/>
          <w:highlight w:val="none"/>
        </w:rPr>
      </w:pPr>
      <w:r>
        <w:rPr>
          <w:color w:val="auto"/>
          <w:szCs w:val="21"/>
          <w:highlight w:val="none"/>
        </w:rPr>
        <w:t>26．1评审结束后，采购人在评比响应文件有效期截止前向成交供应商发出《成交通知书》,并同时将成交结果在《中国政府采购网》公示。</w:t>
      </w:r>
    </w:p>
    <w:p>
      <w:pPr>
        <w:adjustRightInd w:val="0"/>
        <w:snapToGrid w:val="0"/>
        <w:spacing w:line="440" w:lineRule="exact"/>
        <w:rPr>
          <w:color w:val="auto"/>
          <w:szCs w:val="21"/>
          <w:highlight w:val="none"/>
        </w:rPr>
      </w:pPr>
      <w:r>
        <w:rPr>
          <w:color w:val="auto"/>
          <w:szCs w:val="21"/>
          <w:highlight w:val="none"/>
        </w:rPr>
        <w:t>26．2《成交通知书》是合同文件的组成部分。</w:t>
      </w:r>
    </w:p>
    <w:p>
      <w:pPr>
        <w:numPr>
          <w:ilvl w:val="0"/>
          <w:numId w:val="15"/>
        </w:numPr>
        <w:adjustRightInd w:val="0"/>
        <w:snapToGrid w:val="0"/>
        <w:spacing w:line="440" w:lineRule="exact"/>
        <w:rPr>
          <w:b/>
          <w:bCs/>
          <w:color w:val="auto"/>
          <w:szCs w:val="21"/>
          <w:highlight w:val="none"/>
        </w:rPr>
      </w:pPr>
      <w:r>
        <w:rPr>
          <w:b/>
          <w:bCs/>
          <w:color w:val="auto"/>
          <w:szCs w:val="21"/>
          <w:highlight w:val="none"/>
        </w:rPr>
        <w:t>签订合同</w:t>
      </w:r>
    </w:p>
    <w:p>
      <w:pPr>
        <w:adjustRightInd w:val="0"/>
        <w:snapToGrid w:val="0"/>
        <w:spacing w:line="440" w:lineRule="exact"/>
        <w:ind w:left="619" w:hanging="619" w:hangingChars="295"/>
        <w:rPr>
          <w:color w:val="auto"/>
          <w:szCs w:val="21"/>
          <w:highlight w:val="none"/>
        </w:rPr>
      </w:pPr>
      <w:r>
        <w:rPr>
          <w:color w:val="auto"/>
          <w:szCs w:val="21"/>
          <w:highlight w:val="none"/>
        </w:rPr>
        <w:t>27．1成交供应商应在成交通知书发出后</w:t>
      </w:r>
      <w:r>
        <w:rPr>
          <w:color w:val="auto"/>
          <w:szCs w:val="21"/>
          <w:highlight w:val="none"/>
          <w:u w:val="single"/>
        </w:rPr>
        <w:t>30</w:t>
      </w:r>
      <w:r>
        <w:rPr>
          <w:color w:val="auto"/>
          <w:szCs w:val="21"/>
          <w:highlight w:val="none"/>
        </w:rPr>
        <w:t>天内，根据评比文件和成交人的评比响应文件与采购人签订服务合同，采购人和成交供应商不得另行订立背离合同实质性内容的其它协议。</w:t>
      </w:r>
    </w:p>
    <w:p>
      <w:pPr>
        <w:adjustRightInd w:val="0"/>
        <w:snapToGrid w:val="0"/>
        <w:spacing w:line="440" w:lineRule="exact"/>
        <w:ind w:left="619" w:hanging="619" w:hangingChars="295"/>
        <w:rPr>
          <w:color w:val="auto"/>
          <w:szCs w:val="21"/>
          <w:highlight w:val="none"/>
        </w:rPr>
      </w:pPr>
    </w:p>
    <w:p>
      <w:pPr>
        <w:pStyle w:val="3"/>
        <w:spacing w:line="480" w:lineRule="auto"/>
        <w:rPr>
          <w:rFonts w:ascii="Times New Roman" w:hAnsi="Times New Roman" w:eastAsia="宋体"/>
          <w:snapToGrid w:val="0"/>
          <w:color w:val="auto"/>
          <w:highlight w:val="none"/>
        </w:rPr>
      </w:pPr>
      <w:r>
        <w:rPr>
          <w:rFonts w:ascii="Times New Roman" w:hAnsi="Times New Roman" w:eastAsia="宋体"/>
          <w:color w:val="auto"/>
          <w:sz w:val="28"/>
          <w:szCs w:val="28"/>
          <w:highlight w:val="none"/>
        </w:rPr>
        <w:t>七、其他</w:t>
      </w:r>
    </w:p>
    <w:p>
      <w:pPr>
        <w:adjustRightInd w:val="0"/>
        <w:snapToGrid w:val="0"/>
        <w:spacing w:line="440" w:lineRule="exact"/>
        <w:ind w:left="622" w:hanging="622" w:hangingChars="295"/>
        <w:rPr>
          <w:color w:val="auto"/>
          <w:szCs w:val="21"/>
          <w:highlight w:val="none"/>
        </w:rPr>
      </w:pPr>
      <w:r>
        <w:rPr>
          <w:b/>
          <w:bCs/>
          <w:color w:val="auto"/>
          <w:szCs w:val="21"/>
          <w:highlight w:val="none"/>
        </w:rPr>
        <w:t>28. 需要补充的其他内容：</w:t>
      </w:r>
      <w:r>
        <w:rPr>
          <w:color w:val="auto"/>
          <w:szCs w:val="21"/>
          <w:highlight w:val="none"/>
        </w:rPr>
        <w:t>本须知前附表。</w:t>
      </w:r>
    </w:p>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r>
        <w:rPr>
          <w:rFonts w:eastAsia="宋体"/>
          <w:color w:val="auto"/>
          <w:sz w:val="21"/>
          <w:szCs w:val="21"/>
          <w:highlight w:val="none"/>
        </w:rPr>
        <w:br w:type="page"/>
      </w:r>
      <w:bookmarkStart w:id="45" w:name="_Toc10213433"/>
      <w:bookmarkStart w:id="46" w:name="_Toc68963468"/>
      <w:r>
        <w:rPr>
          <w:rFonts w:eastAsia="宋体"/>
          <w:bCs w:val="0"/>
          <w:color w:val="auto"/>
          <w:kern w:val="2"/>
          <w:szCs w:val="36"/>
          <w:highlight w:val="none"/>
        </w:rPr>
        <w:t>第三章、合同条件、格式</w:t>
      </w:r>
      <w:bookmarkEnd w:id="45"/>
    </w:p>
    <w:p>
      <w:pPr>
        <w:pStyle w:val="34"/>
        <w:shd w:val="clear" w:color="auto" w:fill="FFFFFF"/>
        <w:spacing w:beforeAutospacing="0" w:afterAutospacing="0"/>
        <w:jc w:val="center"/>
        <w:rPr>
          <w:rFonts w:ascii="Times New Roman" w:hAnsi="Times New Roman" w:eastAsia="宋体" w:cs="Times New Roman"/>
          <w:b/>
          <w:color w:val="auto"/>
          <w:kern w:val="2"/>
          <w:sz w:val="48"/>
          <w:szCs w:val="48"/>
          <w:highlight w:val="none"/>
        </w:rPr>
      </w:pPr>
      <w:r>
        <w:rPr>
          <w:rFonts w:ascii="Times New Roman" w:hAnsi="Times New Roman" w:eastAsia="宋体" w:cs="Times New Roman"/>
          <w:b/>
          <w:color w:val="auto"/>
          <w:kern w:val="2"/>
          <w:sz w:val="48"/>
          <w:szCs w:val="48"/>
          <w:highlight w:val="none"/>
        </w:rPr>
        <w:t>货物类采购合同</w:t>
      </w: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ind w:firstLine="1124" w:firstLineChars="400"/>
        <w:jc w:val="both"/>
        <w:rPr>
          <w:rFonts w:hint="eastAsia" w:ascii="Times New Roman" w:hAnsi="Times New Roman" w:eastAsia="宋体" w:cs="Times New Roman"/>
          <w:b/>
          <w:bCs/>
          <w:color w:val="auto"/>
          <w:sz w:val="28"/>
          <w:szCs w:val="28"/>
          <w:highlight w:val="none"/>
          <w:shd w:val="clear" w:color="auto" w:fill="FFFFFF"/>
          <w:lang w:eastAsia="zh-CN"/>
        </w:rPr>
      </w:pPr>
      <w:r>
        <w:rPr>
          <w:rFonts w:ascii="Times New Roman" w:hAnsi="Times New Roman" w:eastAsia="宋体" w:cs="Times New Roman"/>
          <w:b/>
          <w:bCs/>
          <w:color w:val="auto"/>
          <w:sz w:val="28"/>
          <w:szCs w:val="28"/>
          <w:highlight w:val="none"/>
          <w:shd w:val="clear" w:color="auto" w:fill="FFFFFF"/>
        </w:rPr>
        <w:t>甲 方（买 方）：</w:t>
      </w:r>
      <w:r>
        <w:rPr>
          <w:rFonts w:hint="eastAsia" w:ascii="Times New Roman" w:hAnsi="Times New Roman" w:eastAsia="宋体" w:cs="Times New Roman"/>
          <w:b/>
          <w:bCs/>
          <w:color w:val="auto"/>
          <w:sz w:val="28"/>
          <w:szCs w:val="28"/>
          <w:highlight w:val="none"/>
          <w:u w:val="single"/>
          <w:shd w:val="clear" w:color="auto" w:fill="FFFFFF"/>
          <w:lang w:eastAsia="zh-CN"/>
        </w:rPr>
        <w:t>哈尔滨工业大学重庆研究院</w:t>
      </w:r>
    </w:p>
    <w:p>
      <w:pPr>
        <w:pStyle w:val="34"/>
        <w:shd w:val="clear" w:color="auto" w:fill="FFFFFF"/>
        <w:spacing w:beforeAutospacing="0" w:afterAutospacing="0" w:line="560" w:lineRule="exact"/>
        <w:ind w:firstLine="1124" w:firstLineChars="400"/>
        <w:rPr>
          <w:rFonts w:ascii="Times New Roman" w:hAnsi="Times New Roman" w:eastAsia="宋体" w:cs="Times New Roman"/>
          <w:b/>
          <w:bCs/>
          <w:color w:val="auto"/>
          <w:sz w:val="28"/>
          <w:szCs w:val="28"/>
          <w:highlight w:val="none"/>
          <w:shd w:val="clear" w:color="auto" w:fill="FFFFFF"/>
        </w:rPr>
      </w:pPr>
      <w:r>
        <w:rPr>
          <w:rFonts w:ascii="Times New Roman" w:hAnsi="Times New Roman" w:eastAsia="宋体" w:cs="Times New Roman"/>
          <w:b/>
          <w:bCs/>
          <w:color w:val="auto"/>
          <w:sz w:val="28"/>
          <w:szCs w:val="28"/>
          <w:highlight w:val="none"/>
          <w:shd w:val="clear" w:color="auto" w:fill="FFFFFF"/>
        </w:rPr>
        <w:t>乙 方（卖 方）：</w:t>
      </w:r>
      <w:r>
        <w:rPr>
          <w:rFonts w:ascii="Times New Roman" w:hAnsi="Times New Roman" w:eastAsia="宋体" w:cs="Times New Roman"/>
          <w:b/>
          <w:bCs/>
          <w:color w:val="auto"/>
          <w:sz w:val="28"/>
          <w:szCs w:val="28"/>
          <w:highlight w:val="none"/>
          <w:u w:val="single"/>
          <w:shd w:val="clear" w:color="auto" w:fill="FFFFFF"/>
        </w:rPr>
        <w:t xml:space="preserve">                                  </w:t>
      </w: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r>
        <w:rPr>
          <w:rFonts w:ascii="Times New Roman" w:hAnsi="Times New Roman" w:eastAsia="宋体" w:cs="Times New Roman"/>
          <w:b/>
          <w:bCs/>
          <w:color w:val="auto"/>
          <w:sz w:val="28"/>
          <w:szCs w:val="28"/>
          <w:highlight w:val="none"/>
          <w:shd w:val="clear" w:color="auto" w:fill="FFFFFF"/>
        </w:rPr>
        <w:t>签订时间：    年  月  日</w:t>
      </w:r>
    </w:p>
    <w:p>
      <w:pPr>
        <w:pStyle w:val="34"/>
        <w:shd w:val="clear" w:color="auto" w:fill="FFFFFF"/>
        <w:spacing w:beforeAutospacing="0" w:afterAutospacing="0" w:line="560" w:lineRule="exact"/>
        <w:ind w:firstLine="3092" w:firstLineChars="1100"/>
        <w:jc w:val="both"/>
        <w:rPr>
          <w:rFonts w:ascii="Times New Roman" w:hAnsi="Times New Roman" w:eastAsia="宋体" w:cs="Times New Roman"/>
          <w:b/>
          <w:bCs/>
          <w:color w:val="auto"/>
          <w:sz w:val="28"/>
          <w:szCs w:val="28"/>
          <w:highlight w:val="none"/>
          <w:shd w:val="clear" w:color="auto" w:fill="FFFFFF"/>
        </w:rPr>
      </w:pPr>
      <w:r>
        <w:rPr>
          <w:rFonts w:ascii="Times New Roman" w:hAnsi="Times New Roman" w:eastAsia="宋体" w:cs="Times New Roman"/>
          <w:b/>
          <w:bCs/>
          <w:color w:val="auto"/>
          <w:sz w:val="28"/>
          <w:szCs w:val="28"/>
          <w:highlight w:val="none"/>
          <w:shd w:val="clear" w:color="auto" w:fill="FFFFFF"/>
        </w:rPr>
        <w:t>签订地点：</w:t>
      </w:r>
    </w:p>
    <w:p>
      <w:pPr>
        <w:pStyle w:val="34"/>
        <w:shd w:val="clear" w:color="auto" w:fill="FFFFFF"/>
        <w:spacing w:beforeAutospacing="0" w:afterAutospacing="0" w:line="400" w:lineRule="exact"/>
        <w:ind w:right="654" w:firstLine="2617" w:firstLineChars="800"/>
        <w:jc w:val="right"/>
        <w:rPr>
          <w:rFonts w:ascii="Times New Roman" w:hAnsi="Times New Roman" w:eastAsia="宋体" w:cs="Times New Roman"/>
          <w:b/>
          <w:bCs/>
          <w:color w:val="auto"/>
          <w:spacing w:val="23"/>
          <w:sz w:val="21"/>
          <w:szCs w:val="21"/>
          <w:highlight w:val="none"/>
          <w:shd w:val="clear" w:color="auto" w:fill="FFFFFF"/>
        </w:rPr>
      </w:pPr>
      <w:r>
        <w:rPr>
          <w:rFonts w:ascii="Times New Roman" w:hAnsi="Times New Roman" w:eastAsia="宋体" w:cs="Times New Roman"/>
          <w:b/>
          <w:bCs/>
          <w:color w:val="auto"/>
          <w:spacing w:val="23"/>
          <w:sz w:val="28"/>
          <w:szCs w:val="28"/>
          <w:highlight w:val="none"/>
          <w:shd w:val="clear" w:color="auto" w:fill="FFFFFF"/>
        </w:rPr>
        <w:br w:type="page"/>
      </w:r>
      <w:r>
        <w:rPr>
          <w:rFonts w:ascii="Times New Roman" w:hAnsi="Times New Roman" w:eastAsia="宋体" w:cs="Times New Roman"/>
          <w:b/>
          <w:bCs/>
          <w:color w:val="auto"/>
          <w:spacing w:val="23"/>
          <w:sz w:val="21"/>
          <w:szCs w:val="21"/>
          <w:highlight w:val="none"/>
          <w:shd w:val="clear" w:color="auto" w:fill="FFFFFF"/>
        </w:rPr>
        <w:t>合同编号：</w:t>
      </w:r>
      <w:r>
        <w:rPr>
          <w:rFonts w:ascii="Times New Roman" w:hAnsi="Times New Roman" w:eastAsia="宋体" w:cs="Times New Roman"/>
          <w:b/>
          <w:bCs/>
          <w:color w:val="auto"/>
          <w:spacing w:val="23"/>
          <w:sz w:val="28"/>
          <w:szCs w:val="28"/>
          <w:highlight w:val="none"/>
          <w:shd w:val="clear" w:color="auto" w:fill="FFFFFF"/>
        </w:rPr>
        <w:t xml:space="preserve">   </w:t>
      </w:r>
    </w:p>
    <w:p>
      <w:pPr>
        <w:pStyle w:val="34"/>
        <w:shd w:val="clear" w:color="auto" w:fill="FFFFFF"/>
        <w:spacing w:beforeAutospacing="0" w:afterAutospacing="0" w:line="400" w:lineRule="exact"/>
        <w:ind w:firstLine="2055" w:firstLineChars="800"/>
        <w:jc w:val="right"/>
        <w:rPr>
          <w:rFonts w:ascii="Times New Roman" w:hAnsi="Times New Roman" w:eastAsia="宋体" w:cs="Times New Roman"/>
          <w:b/>
          <w:bCs/>
          <w:color w:val="auto"/>
          <w:spacing w:val="23"/>
          <w:sz w:val="21"/>
          <w:szCs w:val="21"/>
          <w:highlight w:val="none"/>
          <w:shd w:val="clear" w:color="auto" w:fill="FFFFFF"/>
        </w:rPr>
      </w:pPr>
    </w:p>
    <w:p>
      <w:pPr>
        <w:pStyle w:val="34"/>
        <w:shd w:val="clear" w:color="auto" w:fill="FFFFFF"/>
        <w:spacing w:beforeAutospacing="0" w:afterAutospacing="0" w:line="400" w:lineRule="exact"/>
        <w:ind w:firstLine="735" w:firstLineChars="200"/>
        <w:jc w:val="both"/>
        <w:rPr>
          <w:rFonts w:ascii="Times New Roman" w:hAnsi="Times New Roman" w:eastAsia="宋体" w:cs="Times New Roman"/>
          <w:b/>
          <w:bCs/>
          <w:color w:val="auto"/>
          <w:spacing w:val="23"/>
          <w:sz w:val="32"/>
          <w:szCs w:val="32"/>
          <w:highlight w:val="none"/>
          <w:shd w:val="clear" w:color="auto" w:fill="FFFFFF"/>
        </w:rPr>
      </w:pPr>
      <w:r>
        <w:rPr>
          <w:rFonts w:ascii="Times New Roman" w:hAnsi="Times New Roman" w:eastAsia="宋体" w:cs="Times New Roman"/>
          <w:b/>
          <w:bCs/>
          <w:color w:val="auto"/>
          <w:spacing w:val="23"/>
          <w:sz w:val="32"/>
          <w:szCs w:val="32"/>
          <w:highlight w:val="none"/>
          <w:u w:val="single"/>
          <w:shd w:val="clear" w:color="auto" w:fill="FFFFFF"/>
        </w:rPr>
        <w:t xml:space="preserve">                              </w:t>
      </w:r>
      <w:r>
        <w:rPr>
          <w:rFonts w:ascii="Times New Roman" w:hAnsi="Times New Roman" w:eastAsia="宋体" w:cs="Times New Roman"/>
          <w:b/>
          <w:bCs/>
          <w:color w:val="auto"/>
          <w:spacing w:val="23"/>
          <w:sz w:val="32"/>
          <w:szCs w:val="32"/>
          <w:highlight w:val="none"/>
          <w:shd w:val="clear" w:color="auto" w:fill="FFFFFF"/>
        </w:rPr>
        <w:t>采购合同</w:t>
      </w:r>
    </w:p>
    <w:p>
      <w:pPr>
        <w:pStyle w:val="34"/>
        <w:shd w:val="clear" w:color="auto" w:fill="FFFFFF"/>
        <w:spacing w:beforeAutospacing="0" w:afterAutospacing="0" w:line="400" w:lineRule="exact"/>
        <w:ind w:firstLine="480" w:firstLineChars="200"/>
        <w:jc w:val="both"/>
        <w:rPr>
          <w:rFonts w:ascii="Times New Roman" w:hAnsi="Times New Roman" w:eastAsia="宋体" w:cs="Times New Roman"/>
          <w:bCs/>
          <w:color w:val="auto"/>
          <w:highlight w:val="none"/>
          <w:shd w:val="clear" w:color="auto" w:fill="FFFFFF"/>
        </w:rPr>
      </w:pPr>
    </w:p>
    <w:p>
      <w:pPr>
        <w:pStyle w:val="34"/>
        <w:shd w:val="clear" w:color="auto" w:fill="FFFFFF"/>
        <w:spacing w:beforeAutospacing="0" w:afterAutospacing="0" w:line="400" w:lineRule="exact"/>
        <w:ind w:firstLine="420" w:firstLineChars="200"/>
        <w:jc w:val="both"/>
        <w:rPr>
          <w:rFonts w:hint="eastAsia"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rPr>
        <w:t>甲 方（买 方）：</w:t>
      </w:r>
      <w:r>
        <w:rPr>
          <w:rFonts w:hint="eastAsia" w:ascii="Times New Roman" w:hAnsi="Times New Roman" w:eastAsia="宋体" w:cs="Times New Roman"/>
          <w:color w:val="auto"/>
          <w:kern w:val="2"/>
          <w:sz w:val="21"/>
          <w:szCs w:val="21"/>
          <w:highlight w:val="none"/>
          <w:lang w:eastAsia="zh-CN"/>
        </w:rPr>
        <w:t>哈尔滨工业大学重庆研究院</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法定代表人：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地址：</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邮编：</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联系人：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电话：</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传真：</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电子邮箱：</w:t>
      </w:r>
    </w:p>
    <w:p>
      <w:pPr>
        <w:pStyle w:val="34"/>
        <w:shd w:val="clear" w:color="auto" w:fill="FFFFFF"/>
        <w:spacing w:beforeAutospacing="0" w:afterAutospacing="0" w:line="400" w:lineRule="exact"/>
        <w:ind w:firstLine="42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乙 方（卖 方）：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法定代表人：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地址：</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邮编：</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联系人：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电话：</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传真：</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电子邮箱：</w:t>
      </w:r>
    </w:p>
    <w:p>
      <w:pPr>
        <w:pStyle w:val="34"/>
        <w:shd w:val="clear" w:color="auto" w:fill="FFFFFF"/>
        <w:spacing w:beforeAutospacing="0" w:afterAutospacing="0" w:line="400" w:lineRule="exact"/>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40" w:lineRule="exact"/>
        <w:ind w:firstLine="482"/>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经甲乙双方平等协商，本着自愿、平等、互利的原则，根据《中华人民共和国合同法》等相关法律规定，订立本合同如下：</w:t>
      </w:r>
    </w:p>
    <w:p>
      <w:pPr>
        <w:pStyle w:val="34"/>
        <w:shd w:val="clear" w:color="auto" w:fill="FFFFFF"/>
        <w:spacing w:beforeAutospacing="0" w:afterAutospacing="0" w:line="400" w:lineRule="exact"/>
        <w:ind w:firstLine="48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第一 条  货 物 名 称、品 种、规 格、质 量 和 技 术 资 料</w:t>
      </w:r>
    </w:p>
    <w:tbl>
      <w:tblPr>
        <w:tblStyle w:val="3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03"/>
        <w:gridCol w:w="1550"/>
        <w:gridCol w:w="1289"/>
        <w:gridCol w:w="993"/>
        <w:gridCol w:w="845"/>
        <w:gridCol w:w="1373"/>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序号</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货物名称</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品种/品牌</w:t>
            </w: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规格</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单位</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数量</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单价（元）</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1</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r>
    </w:tbl>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特别说明：                                                      </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货物的质量标准，按照下列第【  】项执行。</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（1）按照</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标准执行（须注明按国家标准、行业标准、企业标准，如标准代号、编号和标准名称等）。</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（2）按样本，样本应封存于甲方</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（注明样本封存及保管方式）。</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（3）按双方商定的要求执行，具体见合同附件：</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 xml:space="preserve"> 。</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技术资料</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（1）乙方应将与货物相关的技术资料，包括并不限于目录索引、图纸、操作手册、使用指南、维修指南和／或服务手册和示意图等交付给甲方。</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（2）若乙方提供的技术资料不完整或在运输过程中出现损毁，乙方应自收到甲方通知后</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天内将完整的技术资料交付给甲方。</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货物包装物的供应</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包装物随货物出售，由乙方负责货物包装物供应，应采用本行业通用的方式或国家标准进行包装，且该包装应符合国家有关法律、法规的规定，该包装物价格含在销售价格当中。乙方应提供货物运至合同规定的交货地点所需要的包装，以防止货物在转运中损坏或变质。这类包装应采取防潮、防晒、防锈、防腐蚀、防震动及防止其它损坏的必要保护措施，从而保护货物能够经受多次搬运、装卸及长途运输。</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二 条  交 货 规 定</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交货方法：由乙方送货。乙方在送货前【 】天内，应向甲方报送书面的交货计划，以便甲方提前做出安排。</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运输方式：由乙方自行选择运输方式，运输及保险费用由【乙方】负担。货物交付给甲方之前，货物相关全部风险由乙方承担。</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交货地点：</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（甲方指定的地点）。</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 交货日期：乙方应在本合同签订后【  】天内完成所有货物的交付；在甲方确认收货后【  】天内，乙方应完成所有货物的安装和调试服务工作，并附上双方约定的、记录货物相关事项的资料。</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 当乙方不能按时交付全部或部分的货物，或者存在这种可能性时，乙方应及时将原因及预定交货日期书面通知给甲方，并按照甲方的指示，迅速制定必要的对策。</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 所有货物交付且安装、调试完毕后【  】天内，乙方应为甲方提供现场集中培训（不少于1次，甲方不限人数），培训内容包括货物的原理、方法、管理、维护等。</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三 条  验 收 方 法</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所有货物由乙方送到交货地点，在甲方确认收货后【  】天内，乙方应完成所有货物的安装和调试服务工作。经甲方验收合格的，签署竣工验收单，验收单一式贰份，双方各执壹份。如乙方未按约定到甲方指定地点参加检验的，应视为乙方对甲方单方检验的结果予以确认。验收标准执行合同规定的货物质量标准。</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如发现乙方所交的货物及项目工程有任何不符合合同规定之处，应做好记录，并由双方代表签字，作为甲方向乙方提出维修或退换货的依据，乙方应在甲方提出维修、补足或更换要求之日起【 】天内进行维修、补足或更换，相关费用由乙方承担。</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验收报告仅证明乙方所提供的货物及项目工程截至出具验收报告之日时可以按合同要求予以接受，但不能视为乙方对货物及项目工程存在的潜在缺陷所应付的责任的解除。此验收报告不作为对货物及项目工程内在质量认定的依据。</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乙方所提供的货物及项目工程应充分满足甲方使用的要求,确保供货货物的尺寸、规格、质量符合合同规定，甲方发出的询价函与乙方发出的报价书中规定的内容与合同具有同等的约束力。本合同内的货物质量保证期为【  】个月，自验收完成之日起计算。质量保证期间如货物出现质量问题，甲方有权要求乙方维修或退换货，乙方应在接到甲方通知后【 】天内免费派人维修、退换符合质量要求的货物。</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四 条  合 同 价 格 与 支 付 方 式</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合同金额：本合同总价（已含税）为￥        （大写：          ）。</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该价格应包含货物价格、通关费（如有）、包装费、物流费、装卸费、保险费、在甲方指定场所的安装调试费、必要的培训费以及增值税等一切费用。在乙方完全履行本合同下全部义务的情形下，除非另有书面约定，否则合同金额是甲方应当向乙方支付的全部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支付方式：</w:t>
      </w:r>
    </w:p>
    <w:p>
      <w:pPr>
        <w:pStyle w:val="11"/>
        <w:keepNext w:val="0"/>
        <w:keepLines w:val="0"/>
        <w:pageBreakBefore w:val="0"/>
        <w:widowControl/>
        <w:kinsoku/>
        <w:wordWrap/>
        <w:overflowPunct/>
        <w:topLinePunct w:val="0"/>
        <w:autoSpaceDE/>
        <w:autoSpaceDN/>
        <w:bidi w:val="0"/>
        <w:spacing w:line="440" w:lineRule="exact"/>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采购合同签订前，成交供应商按合同总价款的5%向采购人缴纳履约保证金（以支票、汇票、本票或者金融机构、担保机构出具的保函等非现金形式提交）；</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本项目合同签定后20个工作日内，成交供应商向采购人提交申请，采购人以转账方式向成交供应商支付合同总额的30%作为预付款；设备生产完成供方单位提供调试</w:t>
      </w:r>
      <w:r>
        <w:rPr>
          <w:rFonts w:hint="eastAsia" w:cs="Times New Roman"/>
          <w:color w:val="auto"/>
          <w:kern w:val="2"/>
          <w:sz w:val="21"/>
          <w:szCs w:val="21"/>
          <w:highlight w:val="none"/>
          <w:lang w:val="en-US" w:eastAsia="zh-CN" w:bidi="ar-SA"/>
        </w:rPr>
        <w:t>视频</w:t>
      </w:r>
      <w:r>
        <w:rPr>
          <w:rFonts w:hint="eastAsia" w:ascii="Times New Roman" w:hAnsi="Times New Roman" w:eastAsia="宋体" w:cs="Times New Roman"/>
          <w:color w:val="auto"/>
          <w:kern w:val="2"/>
          <w:sz w:val="21"/>
          <w:szCs w:val="21"/>
          <w:highlight w:val="none"/>
          <w:lang w:val="en-US" w:eastAsia="zh-CN" w:bidi="ar-SA"/>
        </w:rPr>
        <w:t>（需方可以参与），供方调试合格后</w:t>
      </w:r>
      <w:r>
        <w:rPr>
          <w:rFonts w:hint="eastAsia" w:cs="Times New Roman"/>
          <w:color w:val="auto"/>
          <w:kern w:val="2"/>
          <w:sz w:val="21"/>
          <w:szCs w:val="21"/>
          <w:highlight w:val="none"/>
          <w:lang w:val="en-US" w:eastAsia="zh-CN" w:bidi="ar-SA"/>
        </w:rPr>
        <w:t>，在</w:t>
      </w:r>
      <w:r>
        <w:rPr>
          <w:rFonts w:hint="eastAsia" w:ascii="Times New Roman" w:hAnsi="Times New Roman" w:eastAsia="宋体" w:cs="Times New Roman"/>
          <w:color w:val="auto"/>
          <w:kern w:val="2"/>
          <w:sz w:val="21"/>
          <w:szCs w:val="21"/>
          <w:highlight w:val="none"/>
          <w:lang w:val="en-US" w:eastAsia="zh-CN" w:bidi="ar-SA"/>
        </w:rPr>
        <w:t>发货前50%货款，设备在需方单位调试完成后支付15%货款，余款5%质保期后10个工作日内付清</w:t>
      </w:r>
      <w:r>
        <w:rPr>
          <w:rFonts w:ascii="Times New Roman" w:hAnsi="Times New Roman" w:eastAsia="宋体" w:cs="Times New Roman"/>
          <w:color w:val="auto"/>
          <w:kern w:val="2"/>
          <w:sz w:val="21"/>
          <w:szCs w:val="21"/>
          <w:highlight w:val="none"/>
          <w:lang w:val="en-US" w:eastAsia="zh-CN" w:bidi="ar-SA"/>
        </w:rPr>
        <w:t>。</w:t>
      </w:r>
    </w:p>
    <w:p>
      <w:pPr>
        <w:shd w:val="clear" w:color="auto" w:fill="FFFFFF"/>
        <w:suppressAutoHyphens/>
        <w:spacing w:line="400" w:lineRule="exact"/>
        <w:ind w:firstLine="482"/>
        <w:rPr>
          <w:color w:val="auto"/>
          <w:szCs w:val="21"/>
          <w:highlight w:val="none"/>
        </w:rPr>
      </w:pPr>
      <w:r>
        <w:rPr>
          <w:color w:val="auto"/>
          <w:szCs w:val="21"/>
          <w:highlight w:val="none"/>
        </w:rPr>
        <w:t>注：采购合同使用货币币制如未作特别说明均为人民币。</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乙方的开户银行、帐户名称、银行帐号以本合同提供的为准，如有变更，乙方应在合同规定的相关付款期限十天之前以书面方式通知甲方并加盖财务专用章。如未正确依照上述规定执行而影响相关款项的支付，则由此产生的责任由乙方自负。</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五 条  质 量 保 证 及 维 护</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质保期：验收合格之日起【  】个月为免费质保期。</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在质保期内，如果货物存在缺陷，包括潜在的、非显而易见的缺陷或使用不符合要求的材料等，甲方应在发现该情况之日起【 】天内以书面形式通知乙方，要求乙方免费更换有缺陷的货物或部件。乙方应在收到甲方通知后【 】天内免费更换有缺陷的货物或部件，相关费用由乙方承担。</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若甲方向乙方提出维修要求，乙方应在【 】个工作日内响应，在【 】个工作日内完成维修。</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 如果乙方在收到通知后没有按期维修、弥补缺陷、更换货物或部件，甲方可要求乙方承担违约责任，包括但不限于退货、索赔，由此引发的风险和费用由乙方承担。</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 如果乙方交付甲方的货物是来自于第三方的产品，乙方应向甲方提供其与该第三方签订的享有完全质量保证、保修和维修权利的合同文件副本。</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 质保期届满后，乙方负有终身维护的义务，并承诺以最低优惠价格收取维修费。</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六 条  权 利 侵 害 的 防 止</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1.乙方保证，交付的商品不存在任何违反相关的法律法规、政府指令或政策等或侵犯了第三者的合法权利（包括但不限于知识产权）的情况。</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2.如存在上述情况，乙方必须事前通知甲方，并应负责解决由此而产生的侵权纠纷。</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3.乙方违反本条第1款的保证，而与第三方产生纠纷时，应对由此而引起的纠纷承担所有的法律责任，并承担甲方因此造成的全部损失，甲方对该纠纷不承担任何责任、损失及费用。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按照本合同总金额【20%】向甲方支付违约金，且不能免除乙方履行本合同的义务。</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七 条   保 密 条 款</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 1. 无论合同是否成立，任何一方对其获知的本合同及附件中其他各方的商业秘密和国家秘密负有保密义务。</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 2. 除非法律、法规另有规定或得到本合同另一方的书面许可，任何一方不得向第三人泄露前款规定的商业秘密和国家秘密。保密期限自任何一方获知该商业秘密和国家秘密之日起至本条规定的秘密成为公众所知悉的信息之日止。</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八 条  双 方 责 任</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（一）甲方责任</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甲方无正当理由违反合同规定拒绝接货的，应当承担由此造成的损失。</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甲方应按规定日期向乙方付款。如果无特殊原因逾期付款，应就逾期付款部分按照中国人民银行规定的同期贷款利率向乙方支付违约金。</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（二）乙方责任</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bookmarkStart w:id="47" w:name="_Hlk42720337"/>
      <w:r>
        <w:rPr>
          <w:rFonts w:ascii="Times New Roman" w:hAnsi="Times New Roman" w:eastAsia="宋体" w:cs="Times New Roman"/>
          <w:color w:val="auto"/>
          <w:kern w:val="2"/>
          <w:sz w:val="21"/>
          <w:szCs w:val="21"/>
          <w:highlight w:val="none"/>
        </w:rPr>
        <w:t>1.乙方未在本合同约定的期限内支付履约保证金的，甲方有权要求解除本合同或要求乙方继续履行本合同，并可要求乙方承担合同总价【20%】的违约金。</w:t>
      </w:r>
    </w:p>
    <w:bookmarkEnd w:id="47"/>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2.乙方逾期交货的，每延期一天，乙方应向甲方承担合同总价【0.5%】的违约金，并承担甲方因此所受的损失费用。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3.乙方在合同约定的交货日期届满后【15】天内仍不能交货的，甲方有权解除合同，且乙方应向甲支付合同总价【20%】的违约金，并承担甲方因此所受的损失费用。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4.因乙方原因造成项目工程逾期竣工验收的，每延期一天，乙方应向甲方承担合同总价【0.5%】的违约金，并承担甲方因此所受的损失费用。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 质量保证期内，乙方每次逾期维修或退换货的，每延期一天，应按本合同总价【0.5%】向甲方支付违约金。乙方逾期维修超过【15】天的，甲方有权自行或委托第三方维修，因此发生的费用直接从预留的质保金中抵扣，不足部分甲方有权继续向乙方追偿。乙方逾期退换货超过【15】天的，甲方有权解除合同，且乙方应向甲方支付合同总价【20%】的违约金。</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九 条  不 可 抗 力 与 责 任 免 除</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不可抗力指下列事件：战争、动乱、瘟疫、严重火灾、洪水、地震、风暴或其他自然灾害，以及本合同各方不可预见、不可防止并不能避免或克服的一切其他事件。</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任何一方因不可抗力不能履行本合同规定的全部或部分义务，该方应尽快通知另一方，并须在不可抗力发生后【5】日内以书面形式向另一方提供详细情况报告、证明材料及不可抗力对履行本合同的影响程度的说明。</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3.合同双方应根据不可抗力对本合同履行的影响程度，协商确定是否终止本合同。</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4．因甲方采购经费被冻结、收回或未按时划拨，致使甲方无法按合同约定期限付款的，乙方同意免除甲方逾期付款责任，双方另行协商付款期限。</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条  争 议 解 决</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因履行本合同引起的或与本合同有关的争议，双方应首先协商解决；无法协商解决的，任何一方应当通过诉讼解决。通过诉讼解决的，应当向甲方所在地人民法院提起诉讼。</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一 条  合 同 的 解 释 和 法 律 适 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任何一方对本合同及其附件的解释均应遵循诚实信用原则,依照本合同签订时有效的中国法律、法规以及通常的理解进行。</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本合同中以“天”表述的时间期限均指自然天。</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对本合同的任何解释均应以书面作出。</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 本合同及附件的订立、效力、解释、履行、争议的解决等适用本合同签订时有效的中华人民共和国法律、法规的有关规定。</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二 条  送 达</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本合同项下任何一方向对方发出的通知、信件、数据电文等，应当发送至本合同文首约定的地址、联系人和通信终端。一方当事人变更名称、地址、联系人或通信终端的，应当在变更后【5】日内及时书面通知对方当事人，对方当事人实际收到变更通知前的送达仍为有效送达，电子送达与书面送达具有同等法律效力。</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2. 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 </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合同送达条款与保密条款、争议解决条款均为独立条款，不受合同整体或其他条款的效力的影响。</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三 条  合 同 生 效</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bookmarkStart w:id="48" w:name="_Hlk42720501"/>
      <w:r>
        <w:rPr>
          <w:rFonts w:ascii="Times New Roman" w:hAnsi="Times New Roman" w:eastAsia="宋体" w:cs="Times New Roman"/>
          <w:color w:val="auto"/>
          <w:kern w:val="2"/>
          <w:sz w:val="21"/>
          <w:szCs w:val="21"/>
          <w:highlight w:val="none"/>
        </w:rPr>
        <w:t>本合同经双方法定代表人或授权代表签字并加盖单位公章或合同章后生效。</w:t>
      </w:r>
    </w:p>
    <w:bookmarkEnd w:id="48"/>
    <w:p>
      <w:pPr>
        <w:pStyle w:val="34"/>
        <w:shd w:val="clear" w:color="auto" w:fill="FFFFFF"/>
        <w:spacing w:beforeAutospacing="0" w:afterAutospacing="0" w:line="42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四 条  其 它 事 项</w:t>
      </w:r>
    </w:p>
    <w:p>
      <w:pPr>
        <w:pStyle w:val="34"/>
        <w:shd w:val="clear" w:color="auto" w:fill="FFFFFF"/>
        <w:spacing w:beforeAutospacing="0" w:afterAutospacing="0" w:line="42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合同如有未尽事宜，须经双方共同友好协商，作出补充规定，签订补充协议，补充协议与本合同具有同等效力。</w:t>
      </w:r>
    </w:p>
    <w:p>
      <w:pPr>
        <w:pStyle w:val="34"/>
        <w:shd w:val="clear" w:color="auto" w:fill="FFFFFF"/>
        <w:spacing w:beforeAutospacing="0" w:afterAutospacing="0" w:line="42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本合同附件：</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，为本合不可分割的组成部分，与本合同具有同等法律效力。</w:t>
      </w:r>
    </w:p>
    <w:p>
      <w:pPr>
        <w:pStyle w:val="34"/>
        <w:shd w:val="clear" w:color="auto" w:fill="FFFFFF"/>
        <w:spacing w:beforeAutospacing="0" w:afterAutospacing="0" w:line="42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3.本合同一式</w:t>
      </w:r>
      <w:r>
        <w:rPr>
          <w:rFonts w:hint="eastAsia" w:ascii="Times New Roman" w:hAnsi="Times New Roman" w:eastAsia="宋体" w:cs="Times New Roman"/>
          <w:color w:val="auto"/>
          <w:kern w:val="2"/>
          <w:sz w:val="21"/>
          <w:szCs w:val="21"/>
          <w:highlight w:val="none"/>
          <w:lang w:val="en-US" w:eastAsia="zh-CN"/>
        </w:rPr>
        <w:t>伍</w:t>
      </w:r>
      <w:r>
        <w:rPr>
          <w:rFonts w:ascii="Times New Roman" w:hAnsi="Times New Roman" w:eastAsia="宋体" w:cs="Times New Roman"/>
          <w:color w:val="auto"/>
          <w:kern w:val="2"/>
          <w:sz w:val="21"/>
          <w:szCs w:val="21"/>
          <w:highlight w:val="none"/>
        </w:rPr>
        <w:t>份，甲方执叁份，乙方执</w:t>
      </w:r>
      <w:r>
        <w:rPr>
          <w:rFonts w:hint="eastAsia" w:ascii="Times New Roman" w:hAnsi="Times New Roman" w:eastAsia="宋体" w:cs="Times New Roman"/>
          <w:color w:val="auto"/>
          <w:kern w:val="2"/>
          <w:sz w:val="21"/>
          <w:szCs w:val="21"/>
          <w:highlight w:val="none"/>
          <w:lang w:val="en-US" w:eastAsia="zh-CN"/>
        </w:rPr>
        <w:t>贰</w:t>
      </w:r>
      <w:r>
        <w:rPr>
          <w:rFonts w:ascii="Times New Roman" w:hAnsi="Times New Roman" w:eastAsia="宋体" w:cs="Times New Roman"/>
          <w:color w:val="auto"/>
          <w:kern w:val="2"/>
          <w:sz w:val="21"/>
          <w:szCs w:val="21"/>
          <w:highlight w:val="none"/>
        </w:rPr>
        <w:t>份，具有同等法律效力。</w:t>
      </w:r>
    </w:p>
    <w:p>
      <w:pPr>
        <w:pStyle w:val="34"/>
        <w:shd w:val="clear" w:color="auto" w:fill="FFFFFF"/>
        <w:spacing w:beforeAutospacing="0" w:afterAutospacing="0" w:line="42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（以下为签署页，无正文）</w:t>
      </w:r>
    </w:p>
    <w:p>
      <w:pPr>
        <w:pStyle w:val="34"/>
        <w:shd w:val="clear" w:color="auto" w:fill="FFFFFF"/>
        <w:spacing w:beforeAutospacing="0" w:afterAutospacing="0" w:line="400" w:lineRule="exact"/>
        <w:ind w:firstLine="3780" w:firstLineChars="1800"/>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签  署  页</w:t>
      </w:r>
    </w:p>
    <w:tbl>
      <w:tblPr>
        <w:tblStyle w:val="39"/>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0"/>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0" w:type="dxa"/>
          </w:tcPr>
          <w:p>
            <w:pPr>
              <w:pStyle w:val="34"/>
              <w:shd w:val="clear" w:color="auto" w:fill="FFFFFF"/>
              <w:spacing w:beforeAutospacing="0" w:afterAutospacing="0" w:line="400" w:lineRule="exact"/>
              <w:ind w:firstLine="420" w:firstLineChars="200"/>
              <w:jc w:val="both"/>
              <w:rPr>
                <w:rFonts w:hint="eastAsia"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rPr>
              <w:t>甲方：(章)</w:t>
            </w:r>
            <w:r>
              <w:rPr>
                <w:rFonts w:hint="eastAsia" w:ascii="Times New Roman" w:hAnsi="Times New Roman" w:eastAsia="宋体" w:cs="Times New Roman"/>
                <w:color w:val="auto"/>
                <w:kern w:val="2"/>
                <w:sz w:val="21"/>
                <w:szCs w:val="21"/>
                <w:highlight w:val="none"/>
                <w:lang w:eastAsia="zh-CN"/>
              </w:rPr>
              <w:t>哈尔滨工业大学重庆研究院</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地址：</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法定代表人或授权代表人：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项目负责人：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开户银行：</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银行账号：</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税号：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电话、传真：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邮政编码：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签订日期（甲方）：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tc>
        <w:tc>
          <w:tcPr>
            <w:tcW w:w="4246" w:type="dxa"/>
          </w:tcPr>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乙方：(章)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地址：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法定代表人或授权代表人：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项目负责人：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开户银行：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银行账号：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税号：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电话、传真：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邮政编码：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签订日期（乙方）：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tc>
      </w:tr>
    </w:tbl>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rPr>
          <w:b/>
          <w:color w:val="auto"/>
          <w:sz w:val="24"/>
          <w:highlight w:val="none"/>
        </w:rPr>
      </w:pPr>
      <w:r>
        <w:rPr>
          <w:b/>
          <w:color w:val="auto"/>
          <w:sz w:val="24"/>
          <w:highlight w:val="none"/>
        </w:rPr>
        <w:br w:type="page"/>
      </w:r>
    </w:p>
    <w:p>
      <w:pPr>
        <w:tabs>
          <w:tab w:val="left" w:pos="8040"/>
        </w:tabs>
        <w:autoSpaceDE w:val="0"/>
        <w:autoSpaceDN w:val="0"/>
        <w:adjustRightInd w:val="0"/>
        <w:spacing w:line="360" w:lineRule="auto"/>
        <w:ind w:right="-23" w:firstLine="482" w:firstLineChars="200"/>
        <w:jc w:val="center"/>
        <w:rPr>
          <w:b/>
          <w:color w:val="auto"/>
          <w:sz w:val="24"/>
          <w:highlight w:val="none"/>
        </w:rPr>
      </w:pPr>
    </w:p>
    <w:bookmarkEnd w:id="46"/>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bookmarkStart w:id="49" w:name="_Toc10213449"/>
      <w:r>
        <w:rPr>
          <w:rFonts w:eastAsia="宋体"/>
          <w:bCs w:val="0"/>
          <w:color w:val="auto"/>
          <w:kern w:val="2"/>
          <w:szCs w:val="36"/>
          <w:highlight w:val="none"/>
        </w:rPr>
        <w:t>第四章 技术服务需求及说明</w:t>
      </w:r>
      <w:bookmarkEnd w:id="49"/>
    </w:p>
    <w:p>
      <w:pPr>
        <w:widowControl w:val="0"/>
        <w:adjustRightInd w:val="0"/>
        <w:snapToGrid w:val="0"/>
        <w:spacing w:line="440" w:lineRule="exact"/>
        <w:rPr>
          <w:b/>
          <w:color w:val="auto"/>
          <w:sz w:val="24"/>
          <w:highlight w:val="none"/>
        </w:rPr>
      </w:pPr>
      <w:r>
        <w:rPr>
          <w:b/>
          <w:color w:val="auto"/>
          <w:sz w:val="24"/>
          <w:highlight w:val="none"/>
        </w:rPr>
        <w:t>一、采购项目一览表</w:t>
      </w:r>
    </w:p>
    <w:tbl>
      <w:tblPr>
        <w:tblStyle w:val="39"/>
        <w:tblW w:w="7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654"/>
        <w:gridCol w:w="735"/>
        <w:gridCol w:w="1080"/>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693"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jc w:val="center"/>
              <w:rPr>
                <w:color w:val="auto"/>
                <w:sz w:val="18"/>
                <w:szCs w:val="18"/>
                <w:highlight w:val="none"/>
              </w:rPr>
            </w:pPr>
            <w:r>
              <w:rPr>
                <w:color w:val="auto"/>
                <w:sz w:val="18"/>
                <w:szCs w:val="18"/>
                <w:highlight w:val="none"/>
              </w:rPr>
              <w:t>序号</w:t>
            </w:r>
          </w:p>
        </w:tc>
        <w:tc>
          <w:tcPr>
            <w:tcW w:w="2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 w:val="18"/>
                <w:szCs w:val="18"/>
                <w:highlight w:val="none"/>
              </w:rPr>
            </w:pPr>
            <w:r>
              <w:rPr>
                <w:rFonts w:hint="eastAsia" w:ascii="Times New Roman" w:hAnsi="Times New Roman" w:eastAsia="宋体" w:cs="Times New Roman"/>
                <w:color w:val="auto"/>
                <w:kern w:val="0"/>
                <w:szCs w:val="21"/>
                <w:highlight w:val="none"/>
                <w:shd w:val="clear" w:color="auto" w:fill="FFFFFF"/>
              </w:rPr>
              <w:t>产品名称（设备名称）</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 w:val="18"/>
                <w:szCs w:val="18"/>
                <w:highlight w:val="none"/>
              </w:rPr>
            </w:pPr>
            <w:r>
              <w:rPr>
                <w:color w:val="auto"/>
                <w:sz w:val="18"/>
                <w:szCs w:val="18"/>
                <w:highlight w:val="none"/>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 w:val="18"/>
                <w:szCs w:val="18"/>
                <w:highlight w:val="none"/>
              </w:rPr>
            </w:pPr>
            <w:r>
              <w:rPr>
                <w:color w:val="auto"/>
                <w:sz w:val="18"/>
                <w:szCs w:val="18"/>
                <w:highlight w:val="none"/>
              </w:rPr>
              <w:t>数量</w:t>
            </w:r>
          </w:p>
        </w:tc>
        <w:tc>
          <w:tcPr>
            <w:tcW w:w="2650"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jc w:val="center"/>
              <w:rPr>
                <w:color w:val="auto"/>
                <w:sz w:val="18"/>
                <w:szCs w:val="18"/>
                <w:highlight w:val="none"/>
              </w:rPr>
            </w:pPr>
            <w:r>
              <w:rPr>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exact"/>
          <w:jc w:val="center"/>
        </w:trPr>
        <w:tc>
          <w:tcPr>
            <w:tcW w:w="693"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440" w:lineRule="exact"/>
              <w:rPr>
                <w:color w:val="auto"/>
                <w:sz w:val="18"/>
                <w:szCs w:val="18"/>
                <w:highlight w:val="none"/>
              </w:rPr>
            </w:pPr>
          </w:p>
          <w:p>
            <w:pPr>
              <w:widowControl w:val="0"/>
              <w:adjustRightInd w:val="0"/>
              <w:snapToGrid w:val="0"/>
              <w:spacing w:line="440" w:lineRule="exact"/>
              <w:rPr>
                <w:color w:val="auto"/>
                <w:sz w:val="18"/>
                <w:szCs w:val="18"/>
                <w:highlight w:val="none"/>
              </w:rPr>
            </w:pPr>
          </w:p>
          <w:p>
            <w:pPr>
              <w:widowControl w:val="0"/>
              <w:adjustRightInd w:val="0"/>
              <w:snapToGrid w:val="0"/>
              <w:spacing w:line="440" w:lineRule="exact"/>
              <w:jc w:val="center"/>
              <w:rPr>
                <w:rFonts w:hint="eastAsia" w:ascii="Times New Roman" w:hAnsi="Times New Roman" w:eastAsia="宋体" w:cs="Times New Roman"/>
                <w:color w:val="auto"/>
                <w:kern w:val="0"/>
                <w:szCs w:val="21"/>
                <w:highlight w:val="none"/>
                <w:shd w:val="clear" w:color="auto" w:fill="FFFFFF"/>
                <w:lang w:val="en-US" w:eastAsia="zh-CN"/>
              </w:rPr>
            </w:pPr>
            <w:r>
              <w:rPr>
                <w:rFonts w:hint="eastAsia" w:ascii="Times New Roman" w:hAnsi="Times New Roman" w:eastAsia="宋体" w:cs="Times New Roman"/>
                <w:color w:val="auto"/>
                <w:kern w:val="0"/>
                <w:szCs w:val="21"/>
                <w:highlight w:val="none"/>
                <w:shd w:val="clear" w:color="auto" w:fill="FFFFFF"/>
                <w:lang w:val="en-US" w:eastAsia="zh-CN"/>
              </w:rPr>
              <w:t>1</w:t>
            </w:r>
          </w:p>
          <w:p>
            <w:pPr>
              <w:widowControl w:val="0"/>
              <w:adjustRightInd w:val="0"/>
              <w:snapToGrid w:val="0"/>
              <w:spacing w:line="440" w:lineRule="exact"/>
              <w:rPr>
                <w:color w:val="auto"/>
                <w:sz w:val="18"/>
                <w:szCs w:val="18"/>
                <w:highlight w:val="none"/>
              </w:rPr>
            </w:pPr>
          </w:p>
          <w:p>
            <w:pPr>
              <w:widowControl w:val="0"/>
              <w:adjustRightInd w:val="0"/>
              <w:snapToGrid w:val="0"/>
              <w:spacing w:line="440" w:lineRule="exact"/>
              <w:ind w:firstLine="180" w:firstLineChars="100"/>
              <w:rPr>
                <w:color w:val="auto"/>
                <w:sz w:val="18"/>
                <w:szCs w:val="18"/>
                <w:highlight w:val="none"/>
              </w:rPr>
            </w:pPr>
            <w:r>
              <w:rPr>
                <w:color w:val="auto"/>
                <w:sz w:val="18"/>
                <w:szCs w:val="18"/>
                <w:highlight w:val="none"/>
              </w:rPr>
              <w:t>1</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440" w:lineRule="exact"/>
              <w:jc w:val="center"/>
              <w:rPr>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智能化层析分离</w:t>
            </w:r>
            <w:r>
              <w:rPr>
                <w:rFonts w:hint="eastAsia" w:cs="Times New Roman"/>
                <w:color w:val="auto"/>
                <w:kern w:val="0"/>
                <w:szCs w:val="21"/>
                <w:highlight w:val="none"/>
                <w:shd w:val="clear" w:color="auto" w:fill="FFFFFF"/>
                <w:lang w:val="en-US" w:eastAsia="zh-CN"/>
              </w:rPr>
              <w:t>中试</w:t>
            </w:r>
            <w:r>
              <w:rPr>
                <w:rFonts w:hint="eastAsia" w:ascii="Times New Roman" w:hAnsi="Times New Roman" w:eastAsia="宋体" w:cs="Times New Roman"/>
                <w:color w:val="auto"/>
                <w:kern w:val="0"/>
                <w:szCs w:val="21"/>
                <w:highlight w:val="none"/>
                <w:shd w:val="clear" w:color="auto" w:fill="FFFFFF"/>
              </w:rPr>
              <w:t>系统</w:t>
            </w:r>
          </w:p>
        </w:tc>
        <w:tc>
          <w:tcPr>
            <w:tcW w:w="73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440" w:lineRule="exact"/>
              <w:jc w:val="center"/>
              <w:rPr>
                <w:rFonts w:ascii="Times New Roman" w:hAnsi="Times New Roman" w:eastAsia="宋体" w:cs="Times New Roman"/>
                <w:color w:val="auto"/>
                <w:kern w:val="0"/>
                <w:szCs w:val="21"/>
                <w:highlight w:val="none"/>
                <w:shd w:val="clear" w:color="auto" w:fill="FFFFFF"/>
              </w:rPr>
            </w:pPr>
            <w:r>
              <w:rPr>
                <w:rFonts w:ascii="Times New Roman" w:hAnsi="Times New Roman" w:eastAsia="宋体" w:cs="Times New Roman"/>
                <w:color w:val="auto"/>
                <w:kern w:val="0"/>
                <w:szCs w:val="21"/>
                <w:highlight w:val="none"/>
                <w:shd w:val="clear" w:color="auto" w:fill="FFFFFF"/>
              </w:rPr>
              <w:t>套</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440" w:lineRule="exact"/>
              <w:jc w:val="center"/>
              <w:rPr>
                <w:rFonts w:hint="eastAsia" w:ascii="Times New Roman" w:hAnsi="Times New Roman" w:eastAsia="宋体" w:cs="Times New Roman"/>
                <w:color w:val="auto"/>
                <w:kern w:val="0"/>
                <w:szCs w:val="21"/>
                <w:highlight w:val="none"/>
                <w:shd w:val="clear" w:color="auto" w:fill="FFFFFF"/>
                <w:lang w:eastAsia="zh-CN"/>
              </w:rPr>
            </w:pPr>
            <w:r>
              <w:rPr>
                <w:rFonts w:hint="eastAsia" w:ascii="Times New Roman" w:hAnsi="Times New Roman" w:eastAsia="宋体" w:cs="Times New Roman"/>
                <w:color w:val="auto"/>
                <w:kern w:val="0"/>
                <w:szCs w:val="21"/>
                <w:highlight w:val="none"/>
                <w:shd w:val="clear" w:color="auto" w:fill="FFFFFF"/>
                <w:lang w:val="en-US" w:eastAsia="zh-CN"/>
              </w:rPr>
              <w:t>1</w:t>
            </w:r>
          </w:p>
        </w:tc>
        <w:tc>
          <w:tcPr>
            <w:tcW w:w="265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440" w:lineRule="exact"/>
              <w:jc w:val="center"/>
              <w:rPr>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该投标产品必须为中国关境内生产，若为进口产品将按无效投标处理。</w:t>
            </w:r>
          </w:p>
        </w:tc>
      </w:tr>
    </w:tbl>
    <w:p>
      <w:pPr>
        <w:widowControl w:val="0"/>
        <w:adjustRightInd w:val="0"/>
        <w:snapToGrid w:val="0"/>
        <w:spacing w:line="440" w:lineRule="exact"/>
        <w:jc w:val="both"/>
        <w:rPr>
          <w:b/>
          <w:color w:val="auto"/>
          <w:sz w:val="24"/>
          <w:highlight w:val="none"/>
        </w:rPr>
      </w:pPr>
    </w:p>
    <w:p>
      <w:pPr>
        <w:widowControl w:val="0"/>
        <w:adjustRightInd w:val="0"/>
        <w:snapToGrid w:val="0"/>
        <w:spacing w:line="440" w:lineRule="exact"/>
        <w:jc w:val="both"/>
        <w:rPr>
          <w:b/>
          <w:color w:val="auto"/>
          <w:sz w:val="24"/>
          <w:highlight w:val="none"/>
        </w:rPr>
      </w:pPr>
      <w:r>
        <w:rPr>
          <w:b/>
          <w:color w:val="auto"/>
          <w:sz w:val="24"/>
          <w:highlight w:val="none"/>
        </w:rPr>
        <w:t>二、项目技术要求</w:t>
      </w:r>
    </w:p>
    <w:p>
      <w:pPr>
        <w:pStyle w:val="18"/>
        <w:jc w:val="both"/>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1、核心技术指标</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981"/>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核心技术指标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层析柱：</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（1）3支层析柱，规格200mm*2000mm，其中两支316L不锈钢柱，另一支玻璃与不锈钢结合柱。</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（2）不锈钢柱：采用219*4不锈钢管制作，上部椭圆形封头，下部小椎体结构，柱管设有无死角不锈钢视镜。</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（3）玻璃与不锈钢结合柱：中间一段硼硅酸玻璃柱管，两端各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00mm不锈钢柱管。柱出液口设置有在线紫外检测器，可根据根据设定的紫外实现自动切换。</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（4）在线紫外检测器：有界面</w:t>
            </w:r>
            <w:r>
              <w:rPr>
                <w:rFonts w:hint="eastAsia" w:ascii="宋体" w:hAnsi="宋体" w:eastAsia="宋体" w:cs="宋体"/>
                <w:color w:val="auto"/>
                <w:sz w:val="21"/>
                <w:szCs w:val="21"/>
                <w:highlight w:val="none"/>
                <w:lang w:val="en-US" w:eastAsia="zh-CN"/>
              </w:rPr>
              <w:t>可在线监测</w:t>
            </w:r>
            <w:r>
              <w:rPr>
                <w:rFonts w:hint="eastAsia" w:ascii="宋体" w:hAnsi="宋体" w:eastAsia="宋体" w:cs="宋体"/>
                <w:color w:val="auto"/>
                <w:sz w:val="21"/>
                <w:szCs w:val="21"/>
                <w:highlight w:val="none"/>
              </w:rPr>
              <w:t>出料图谱情况，检测图谱可以自动储存，可以根据假定工艺，预留编制程序。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层析柱</w:t>
            </w:r>
            <w:r>
              <w:rPr>
                <w:rFonts w:hint="eastAsia" w:ascii="宋体" w:hAnsi="宋体" w:eastAsia="宋体" w:cs="宋体"/>
                <w:color w:val="auto"/>
                <w:sz w:val="21"/>
                <w:szCs w:val="21"/>
                <w:highlight w:val="none"/>
              </w:rPr>
              <w:t>过滤</w:t>
            </w:r>
            <w:r>
              <w:rPr>
                <w:rFonts w:hint="eastAsia" w:ascii="宋体" w:hAnsi="宋体" w:eastAsia="宋体" w:cs="宋体"/>
                <w:color w:val="auto"/>
                <w:sz w:val="21"/>
                <w:szCs w:val="21"/>
                <w:highlight w:val="none"/>
                <w:lang w:val="en-US" w:eastAsia="zh-CN"/>
              </w:rPr>
              <w:t>板</w:t>
            </w:r>
            <w:r>
              <w:rPr>
                <w:rFonts w:hint="eastAsia" w:ascii="宋体" w:hAnsi="宋体" w:eastAsia="宋体" w:cs="宋体"/>
                <w:color w:val="auto"/>
                <w:sz w:val="21"/>
                <w:szCs w:val="21"/>
                <w:highlight w:val="none"/>
              </w:rPr>
              <w:t>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0.15mm，材质均采用聚丙烯（PP）材质。</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（6）柱前流量计与泵设定流量实现对比，压力变送器与泵实现联动，超压停泵。</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（7）柱后流量计用于实现出液阀门切换。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层析柱分离程序：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至少包括以下程序：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（1）程序1：每个柱子</w:t>
            </w:r>
            <w:r>
              <w:rPr>
                <w:rFonts w:hint="eastAsia" w:ascii="宋体" w:hAnsi="宋体" w:eastAsia="宋体" w:cs="宋体"/>
                <w:color w:val="auto"/>
                <w:sz w:val="21"/>
                <w:szCs w:val="21"/>
                <w:highlight w:val="none"/>
                <w:lang w:val="en-US" w:eastAsia="zh-CN"/>
              </w:rPr>
              <w:t>可同时</w:t>
            </w:r>
            <w:r>
              <w:rPr>
                <w:rFonts w:hint="eastAsia" w:ascii="宋体" w:hAnsi="宋体" w:eastAsia="宋体" w:cs="宋体"/>
                <w:color w:val="auto"/>
                <w:sz w:val="21"/>
                <w:szCs w:val="21"/>
                <w:highlight w:val="none"/>
              </w:rPr>
              <w:t>独立完成工艺，柱前（上样、水洗、解析）</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（2）不同层析柱之间，可实现工艺切换：</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程序2：1-2柱串联</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程序3：1-2-3柱串联</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程序4：2-3柱串联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柱前储罐进液系统：</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（1）4台柱前储罐分别用于纯水、样品、解析液（1、2）样液存储。</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（2）设有快开液位计、400人孔，配套呼吸器、液位变送器（带信号0-20ma输出）。</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（3）可检测输出流量，在没有流量输出时与泵实现联控，防止泵因空转损坏。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（4）4台柱前储罐与泵单独控制，在触摸屏</w:t>
            </w:r>
            <w:r>
              <w:rPr>
                <w:rFonts w:hint="eastAsia" w:ascii="宋体" w:hAnsi="宋体" w:eastAsia="宋体" w:cs="宋体"/>
                <w:color w:val="auto"/>
                <w:sz w:val="21"/>
                <w:szCs w:val="21"/>
                <w:highlight w:val="none"/>
                <w:lang w:val="en-US" w:eastAsia="zh-CN"/>
              </w:rPr>
              <w:t>选择</w:t>
            </w:r>
            <w:r>
              <w:rPr>
                <w:rFonts w:hint="eastAsia" w:ascii="宋体" w:hAnsi="宋体" w:eastAsia="宋体" w:cs="宋体"/>
                <w:color w:val="auto"/>
                <w:sz w:val="21"/>
                <w:szCs w:val="21"/>
                <w:highlight w:val="none"/>
              </w:rPr>
              <w:t>预设程序任意输入任一层析柱。</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收集罐出液系统：</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（1）4台收集储罐分别用于柱出液（前杂、后杂、收液1、收液2）存储。</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（2）设有快开液位计、</w:t>
            </w:r>
            <w:r>
              <w:rPr>
                <w:rFonts w:hint="eastAsia" w:ascii="宋体" w:hAnsi="宋体" w:eastAsia="宋体" w:cs="宋体"/>
                <w:color w:val="auto"/>
                <w:sz w:val="21"/>
                <w:szCs w:val="21"/>
                <w:highlight w:val="none"/>
                <w:lang w:val="en-US" w:eastAsia="zh-CN"/>
              </w:rPr>
              <w:t>DN</w:t>
            </w:r>
            <w:r>
              <w:rPr>
                <w:rFonts w:hint="eastAsia" w:ascii="宋体" w:hAnsi="宋体" w:eastAsia="宋体" w:cs="宋体"/>
                <w:color w:val="auto"/>
                <w:sz w:val="21"/>
                <w:szCs w:val="21"/>
                <w:highlight w:val="none"/>
              </w:rPr>
              <w:t>400人孔，配套呼吸器、液位变送器（带信号0-20ma输出）。</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（3）可检测输出流量，在没有流量输出时与泵实现联控，防止泵因空转损坏。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（4）4台收集储罐与泵单独控制，在触摸屏选着预设程序任意输出任一储罐。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输液泵：采用四元隔膜泵，配套变频电机，材质316L不锈钢。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控制仪表：</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（1）压力变送器，带显示表头，带4-20ma信号输出。</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（2）流量计：涡轮流量计，25-250L/min,带显示表头，带4-20ma信号输出。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微软雅黑" w:hAnsi="微软雅黑" w:eastAsia="微软雅黑" w:cs="仿宋"/>
                <w:color w:val="auto"/>
                <w:sz w:val="21"/>
                <w:szCs w:val="21"/>
                <w:highlight w:val="none"/>
              </w:rPr>
              <w:t>全套系统采用自动控制。</w:t>
            </w:r>
          </w:p>
        </w:tc>
      </w:tr>
    </w:tbl>
    <w:p>
      <w:pPr>
        <w:pStyle w:val="18"/>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2、一般技术指标</w:t>
      </w: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980"/>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一般技术指标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层析柱：柱体本身应便于拆洗、维护，易于安装，且应能保证物料与设备互不产生相互污染，合理布局视镜，视镜位置不能有死体积，以满足生产使用要求。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树脂填料填装与卸载：</w:t>
            </w:r>
            <w:r>
              <w:rPr>
                <w:rFonts w:hint="eastAsia" w:ascii="宋体" w:hAnsi="宋体" w:eastAsia="宋体" w:cs="宋体"/>
                <w:color w:val="auto"/>
                <w:sz w:val="21"/>
                <w:szCs w:val="21"/>
                <w:highlight w:val="none"/>
              </w:rPr>
              <w:t>真空抽吸装填树脂，纯化水反冲卸载树脂。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柱前储罐、收集储罐：为常压立式储罐，材质316L不锈钢，壁厚3mm,内外抛光，外壁亚光。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输液泵：物料的进/出料管道最低点处需要增加排液口，便于排净或收集保证无残留。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控制管道及阀门：均为卫生管，接口方式均为快装卡箍连接，局部采用柔性管道，所有管阀均采用SUS316L不锈钢。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控制阀门：分气动阀门及手动阀门，气动阀门用于自控工艺程序，所有管阀均采用SUS316L不锈钢。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配电箱、</w:t>
            </w:r>
            <w:r>
              <w:rPr>
                <w:rFonts w:hint="eastAsia" w:ascii="宋体" w:hAnsi="宋体" w:eastAsia="宋体" w:cs="宋体"/>
                <w:color w:val="auto"/>
                <w:sz w:val="21"/>
                <w:szCs w:val="21"/>
                <w:highlight w:val="none"/>
              </w:rPr>
              <w:t>涉及60%以上乙醇的输料泵等相关配件需要进行防爆处理。</w:t>
            </w:r>
          </w:p>
        </w:tc>
      </w:tr>
    </w:tbl>
    <w:p>
      <w:pPr>
        <w:pStyle w:val="261"/>
        <w:numPr>
          <w:ilvl w:val="0"/>
          <w:numId w:val="16"/>
        </w:numPr>
        <w:spacing w:line="440" w:lineRule="exact"/>
        <w:ind w:firstLine="0" w:firstLineChars="0"/>
        <w:rPr>
          <w:rFonts w:hint="eastAsia" w:ascii="Times New Roman" w:hAnsi="Times New Roman" w:eastAsia="宋体" w:cs="Times New Roman"/>
          <w:color w:val="auto"/>
          <w:szCs w:val="21"/>
          <w:highlight w:val="none"/>
          <w:shd w:val="clear" w:color="auto" w:fill="FFFFFF"/>
          <w:lang w:val="en-US" w:eastAsia="zh-CN"/>
        </w:rPr>
      </w:pPr>
      <w:r>
        <w:rPr>
          <w:rFonts w:hint="eastAsia"/>
          <w:color w:val="auto"/>
          <w:szCs w:val="21"/>
          <w:highlight w:val="none"/>
          <w:shd w:val="clear" w:color="auto" w:fill="FFFFFF"/>
          <w:lang w:val="en-US" w:eastAsia="zh-CN"/>
        </w:rPr>
        <w:t>设备配置清单</w:t>
      </w:r>
      <w:r>
        <w:rPr>
          <w:rFonts w:hint="eastAsia" w:ascii="Times New Roman" w:hAnsi="Times New Roman" w:eastAsia="宋体" w:cs="Times New Roman"/>
          <w:color w:val="auto"/>
          <w:szCs w:val="21"/>
          <w:highlight w:val="none"/>
          <w:shd w:val="clear" w:color="auto" w:fill="FFFFFF"/>
          <w:lang w:val="en-US" w:eastAsia="zh-CN"/>
        </w:rPr>
        <w:t>（不同厂家产品的配置名称与下表所列名称存在偏差时，满足功能需求即可）</w:t>
      </w:r>
    </w:p>
    <w:tbl>
      <w:tblPr>
        <w:tblStyle w:val="39"/>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968"/>
        <w:gridCol w:w="1108"/>
        <w:gridCol w:w="1214"/>
        <w:gridCol w:w="865"/>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19" w:type="pct"/>
            <w:noWrap/>
            <w:tcMar>
              <w:top w:w="15" w:type="dxa"/>
              <w:left w:w="15" w:type="dxa"/>
              <w:right w:w="15" w:type="dxa"/>
            </w:tcMar>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45" w:type="pct"/>
            <w:noWrap/>
            <w:tcMar>
              <w:top w:w="15" w:type="dxa"/>
              <w:left w:w="15" w:type="dxa"/>
              <w:right w:w="15" w:type="dxa"/>
            </w:tcMar>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588" w:type="pct"/>
            <w:noWrap/>
            <w:tcMar>
              <w:top w:w="15" w:type="dxa"/>
              <w:left w:w="15" w:type="dxa"/>
              <w:right w:w="15" w:type="dxa"/>
            </w:tcMar>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w:t>
            </w:r>
          </w:p>
        </w:tc>
        <w:tc>
          <w:tcPr>
            <w:tcW w:w="645" w:type="pct"/>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拟采购</w:t>
            </w:r>
            <w:r>
              <w:rPr>
                <w:rFonts w:hint="eastAsia" w:ascii="宋体" w:hAnsi="宋体" w:eastAsia="宋体" w:cs="宋体"/>
                <w:b/>
                <w:bCs/>
                <w:color w:val="auto"/>
                <w:sz w:val="21"/>
                <w:szCs w:val="21"/>
                <w:highlight w:val="none"/>
              </w:rPr>
              <w:t>数量</w:t>
            </w:r>
          </w:p>
        </w:tc>
        <w:tc>
          <w:tcPr>
            <w:tcW w:w="459" w:type="pct"/>
            <w:noWrap/>
            <w:tcMar>
              <w:top w:w="15" w:type="dxa"/>
              <w:left w:w="15" w:type="dxa"/>
              <w:right w:w="15" w:type="dxa"/>
            </w:tcMar>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941" w:type="pct"/>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045"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柱前储罐</w:t>
            </w:r>
          </w:p>
        </w:tc>
        <w:tc>
          <w:tcPr>
            <w:tcW w:w="588"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300L</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45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快开液位计、400人孔，配套呼吸器、液位变送器（带信号0-20ma输出），SUS316L材质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045"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输液泵</w:t>
            </w:r>
          </w:p>
        </w:tc>
        <w:tc>
          <w:tcPr>
            <w:tcW w:w="588"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1-180L/H</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45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配套变频电机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1045"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流量计</w:t>
            </w:r>
          </w:p>
        </w:tc>
        <w:tc>
          <w:tcPr>
            <w:tcW w:w="588"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25-250L/H</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45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涡轮流量计，带显示表头，带4-20ma信号输出，SUS316L材质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层析柱</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200-2000</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两支316L不锈钢柱，另一支玻璃与不锈钢结合柱、含柱架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压力变送器</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带显示表头，带4-20ma信号输出，SUS316L材质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阀门、管道、设计、布局、安装</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批</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自控柜（在线紫外、工作站）</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柜体、变频器、触摸屏、鼠标、电器、PLC、CPU、电磁阀等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出液收集罐</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300L</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快开液位计、400人孔，配套呼吸器、液位变送器（带信号0-20ma输出），SUS316L材质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流量计</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250-2500L/H</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输液泵</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CQ25-15</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出液系统自控箱</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r>
    </w:tbl>
    <w:p>
      <w:pPr>
        <w:pStyle w:val="261"/>
        <w:numPr>
          <w:ilvl w:val="0"/>
          <w:numId w:val="0"/>
        </w:numPr>
        <w:spacing w:line="440" w:lineRule="exact"/>
        <w:rPr>
          <w:rFonts w:hint="default"/>
          <w:color w:val="auto"/>
          <w:szCs w:val="21"/>
          <w:highlight w:val="none"/>
          <w:shd w:val="clear" w:color="auto" w:fill="FFFFFF"/>
          <w:lang w:val="en-US" w:eastAsia="zh-CN"/>
        </w:rPr>
      </w:pPr>
    </w:p>
    <w:p>
      <w:pPr>
        <w:pStyle w:val="261"/>
        <w:numPr>
          <w:ilvl w:val="0"/>
          <w:numId w:val="0"/>
        </w:numPr>
        <w:spacing w:line="440" w:lineRule="exact"/>
        <w:rPr>
          <w:rFonts w:hint="default"/>
          <w:color w:val="auto"/>
          <w:szCs w:val="21"/>
          <w:highlight w:val="none"/>
          <w:shd w:val="clear" w:color="auto" w:fill="FFFFFF"/>
          <w:lang w:val="en-US" w:eastAsia="zh-CN"/>
        </w:rPr>
      </w:pPr>
    </w:p>
    <w:p>
      <w:pPr>
        <w:pStyle w:val="261"/>
        <w:numPr>
          <w:ilvl w:val="0"/>
          <w:numId w:val="0"/>
        </w:numPr>
        <w:spacing w:line="440" w:lineRule="exact"/>
        <w:rPr>
          <w:rFonts w:hint="default"/>
          <w:color w:val="auto"/>
          <w:szCs w:val="21"/>
          <w:highlight w:val="none"/>
          <w:shd w:val="clear" w:color="auto" w:fill="FFFFFF"/>
          <w:lang w:val="en-US" w:eastAsia="zh-CN"/>
        </w:rPr>
      </w:pPr>
    </w:p>
    <w:p>
      <w:pPr>
        <w:pStyle w:val="261"/>
        <w:numPr>
          <w:ilvl w:val="0"/>
          <w:numId w:val="0"/>
        </w:numPr>
        <w:spacing w:line="440" w:lineRule="exact"/>
        <w:rPr>
          <w:rFonts w:hint="default"/>
          <w:color w:val="auto"/>
          <w:szCs w:val="21"/>
          <w:highlight w:val="none"/>
          <w:shd w:val="clear" w:color="auto" w:fill="FFFFFF"/>
          <w:lang w:val="en-US" w:eastAsia="zh-CN"/>
        </w:rPr>
      </w:pPr>
    </w:p>
    <w:p>
      <w:pPr>
        <w:pStyle w:val="261"/>
        <w:numPr>
          <w:ilvl w:val="0"/>
          <w:numId w:val="0"/>
        </w:numPr>
        <w:spacing w:line="440" w:lineRule="exact"/>
        <w:rPr>
          <w:rFonts w:hint="default"/>
          <w:color w:val="auto"/>
          <w:szCs w:val="21"/>
          <w:highlight w:val="none"/>
          <w:shd w:val="clear" w:color="auto" w:fill="FFFFFF"/>
          <w:lang w:val="en-US" w:eastAsia="zh-CN"/>
        </w:rPr>
      </w:pPr>
    </w:p>
    <w:p>
      <w:pPr>
        <w:spacing w:line="440" w:lineRule="exact"/>
        <w:rPr>
          <w:b/>
          <w:color w:val="auto"/>
          <w:szCs w:val="21"/>
          <w:highlight w:val="none"/>
        </w:rPr>
      </w:pPr>
      <w:r>
        <w:rPr>
          <w:b/>
          <w:color w:val="auto"/>
          <w:sz w:val="24"/>
          <w:highlight w:val="none"/>
        </w:rPr>
        <w:t>三、</w:t>
      </w:r>
      <w:bookmarkStart w:id="50" w:name="_Toc10213450"/>
      <w:r>
        <w:rPr>
          <w:b/>
          <w:color w:val="auto"/>
          <w:szCs w:val="21"/>
          <w:highlight w:val="none"/>
        </w:rPr>
        <w:t>商务要求</w:t>
      </w:r>
    </w:p>
    <w:p>
      <w:pPr>
        <w:spacing w:line="440" w:lineRule="exact"/>
        <w:rPr>
          <w:b/>
          <w:bCs/>
          <w:color w:val="auto"/>
          <w:highlight w:val="none"/>
        </w:rPr>
      </w:pPr>
      <w:bookmarkStart w:id="51" w:name="_Toc16855397"/>
      <w:bookmarkStart w:id="52" w:name="_Toc13220"/>
      <w:bookmarkStart w:id="53" w:name="_Toc78978994"/>
      <w:r>
        <w:rPr>
          <w:b/>
          <w:bCs/>
          <w:color w:val="auto"/>
          <w:highlight w:val="none"/>
        </w:rPr>
        <w:t>3.1</w:t>
      </w:r>
      <w:r>
        <w:rPr>
          <w:rFonts w:hint="eastAsia"/>
          <w:b/>
          <w:bCs/>
          <w:color w:val="auto"/>
          <w:highlight w:val="none"/>
          <w:lang w:val="en-US" w:eastAsia="zh-CN"/>
        </w:rPr>
        <w:t>供货</w:t>
      </w:r>
      <w:r>
        <w:rPr>
          <w:b/>
          <w:bCs/>
          <w:color w:val="auto"/>
          <w:highlight w:val="none"/>
        </w:rPr>
        <w:t>期、交货地点及验收方式</w:t>
      </w:r>
      <w:bookmarkEnd w:id="51"/>
      <w:bookmarkEnd w:id="52"/>
      <w:bookmarkEnd w:id="53"/>
    </w:p>
    <w:p>
      <w:pPr>
        <w:spacing w:line="440" w:lineRule="exact"/>
        <w:rPr>
          <w:rFonts w:hint="eastAsia" w:eastAsia="宋体"/>
          <w:bCs/>
          <w:color w:val="auto"/>
          <w:szCs w:val="21"/>
          <w:highlight w:val="none"/>
          <w:lang w:val="en-US" w:eastAsia="zh-CN"/>
        </w:rPr>
      </w:pPr>
      <w:r>
        <w:rPr>
          <w:bCs/>
          <w:color w:val="auto"/>
          <w:szCs w:val="21"/>
          <w:highlight w:val="none"/>
        </w:rPr>
        <w:t>3.1.1</w:t>
      </w:r>
      <w:r>
        <w:rPr>
          <w:rFonts w:hint="eastAsia"/>
          <w:bCs/>
          <w:color w:val="auto"/>
          <w:szCs w:val="21"/>
          <w:highlight w:val="none"/>
          <w:lang w:val="en-US" w:eastAsia="zh-CN"/>
        </w:rPr>
        <w:t>供货</w:t>
      </w:r>
      <w:r>
        <w:rPr>
          <w:bCs/>
          <w:color w:val="auto"/>
          <w:szCs w:val="21"/>
          <w:highlight w:val="none"/>
        </w:rPr>
        <w:t>期：</w:t>
      </w:r>
      <w:r>
        <w:rPr>
          <w:rFonts w:hint="eastAsia"/>
          <w:bCs/>
          <w:color w:val="auto"/>
          <w:szCs w:val="21"/>
          <w:highlight w:val="none"/>
        </w:rPr>
        <w:t>收到预付款后75个日历日内完成设备加工与出厂前调试，设备交付后20个日历日内完成</w:t>
      </w:r>
      <w:r>
        <w:rPr>
          <w:rFonts w:hint="eastAsia"/>
          <w:bCs/>
          <w:color w:val="auto"/>
          <w:szCs w:val="21"/>
          <w:highlight w:val="none"/>
          <w:lang w:val="en-US" w:eastAsia="zh-CN"/>
        </w:rPr>
        <w:t>中试现场</w:t>
      </w:r>
      <w:r>
        <w:rPr>
          <w:rFonts w:hint="eastAsia"/>
          <w:bCs/>
          <w:color w:val="auto"/>
          <w:szCs w:val="21"/>
          <w:highlight w:val="none"/>
        </w:rPr>
        <w:t>设备安装</w:t>
      </w:r>
      <w:r>
        <w:rPr>
          <w:rFonts w:hint="eastAsia"/>
          <w:bCs/>
          <w:color w:val="auto"/>
          <w:szCs w:val="21"/>
          <w:highlight w:val="none"/>
          <w:lang w:val="en-US" w:eastAsia="zh-CN"/>
        </w:rPr>
        <w:t>调试。</w:t>
      </w:r>
    </w:p>
    <w:p>
      <w:pPr>
        <w:spacing w:line="440" w:lineRule="exact"/>
        <w:rPr>
          <w:bCs/>
          <w:color w:val="auto"/>
          <w:szCs w:val="21"/>
          <w:highlight w:val="none"/>
        </w:rPr>
      </w:pPr>
      <w:r>
        <w:rPr>
          <w:bCs/>
          <w:color w:val="auto"/>
          <w:szCs w:val="21"/>
          <w:highlight w:val="none"/>
        </w:rPr>
        <w:t>3.1.2交货地点：采购人指定地点（重庆）。</w:t>
      </w:r>
    </w:p>
    <w:p>
      <w:pPr>
        <w:spacing w:line="440" w:lineRule="exact"/>
        <w:rPr>
          <w:bCs/>
          <w:color w:val="auto"/>
          <w:szCs w:val="21"/>
          <w:highlight w:val="none"/>
        </w:rPr>
      </w:pPr>
      <w:r>
        <w:rPr>
          <w:bCs/>
          <w:color w:val="auto"/>
          <w:szCs w:val="21"/>
          <w:highlight w:val="none"/>
        </w:rPr>
        <w:t>3.1.3验收方式：</w:t>
      </w:r>
      <w:r>
        <w:rPr>
          <w:color w:val="auto"/>
          <w:sz w:val="22"/>
          <w:highlight w:val="none"/>
        </w:rPr>
        <w:t>设备须依据本技术规格要求、并按成交人和用户双方签订的技术协议进行验收。在用户所在地完成设备的安装、调试后，双方进行最终验收；验收合格后，由双方签署验收合格报告。</w:t>
      </w:r>
    </w:p>
    <w:p>
      <w:pPr>
        <w:numPr>
          <w:ilvl w:val="0"/>
          <w:numId w:val="17"/>
        </w:numPr>
        <w:spacing w:line="440" w:lineRule="exact"/>
        <w:rPr>
          <w:bCs/>
          <w:color w:val="auto"/>
          <w:szCs w:val="21"/>
          <w:highlight w:val="none"/>
        </w:rPr>
      </w:pPr>
      <w:r>
        <w:rPr>
          <w:color w:val="auto"/>
          <w:szCs w:val="21"/>
          <w:highlight w:val="none"/>
        </w:rPr>
        <w:t>货物到达现场后，成交人应在使用单位人员在场情况下当面开箱，</w:t>
      </w:r>
      <w:r>
        <w:rPr>
          <w:bCs/>
          <w:color w:val="auto"/>
          <w:szCs w:val="21"/>
          <w:highlight w:val="none"/>
        </w:rPr>
        <w:t>共同清点、检查外观，作出开箱记录，确认开箱验收合格后，双方签字确认。</w:t>
      </w:r>
    </w:p>
    <w:p>
      <w:pPr>
        <w:numPr>
          <w:ilvl w:val="0"/>
          <w:numId w:val="17"/>
        </w:numPr>
        <w:spacing w:line="440" w:lineRule="exact"/>
        <w:rPr>
          <w:bCs/>
          <w:color w:val="auto"/>
          <w:szCs w:val="21"/>
          <w:highlight w:val="none"/>
        </w:rPr>
      </w:pPr>
      <w:r>
        <w:rPr>
          <w:color w:val="auto"/>
          <w:szCs w:val="21"/>
          <w:highlight w:val="none"/>
        </w:rPr>
        <w:t>成交人应保证货物到达采购人所在地完好无损</w:t>
      </w:r>
      <w:r>
        <w:rPr>
          <w:bCs/>
          <w:color w:val="auto"/>
          <w:szCs w:val="21"/>
          <w:highlight w:val="none"/>
        </w:rPr>
        <w:t xml:space="preserve">，如有缺漏、损坏，由成交人负责调换、补齐或赔偿。  </w:t>
      </w:r>
    </w:p>
    <w:p>
      <w:pPr>
        <w:numPr>
          <w:ilvl w:val="0"/>
          <w:numId w:val="17"/>
        </w:numPr>
        <w:spacing w:line="440" w:lineRule="exact"/>
        <w:rPr>
          <w:bCs/>
          <w:color w:val="auto"/>
          <w:szCs w:val="21"/>
          <w:highlight w:val="none"/>
        </w:rPr>
      </w:pPr>
      <w:r>
        <w:rPr>
          <w:bCs/>
          <w:color w:val="auto"/>
          <w:szCs w:val="21"/>
          <w:highlight w:val="none"/>
        </w:rPr>
        <w:t>成交人应提供完备的技术资料、装箱清单、合格证等，并派遣专业技术人员进行现场安装调试及验收服务。验收合格条件如下：</w:t>
      </w:r>
    </w:p>
    <w:p>
      <w:pPr>
        <w:numPr>
          <w:ilvl w:val="0"/>
          <w:numId w:val="18"/>
        </w:numPr>
        <w:spacing w:line="440" w:lineRule="exact"/>
        <w:rPr>
          <w:bCs/>
          <w:color w:val="auto"/>
          <w:szCs w:val="21"/>
          <w:highlight w:val="none"/>
        </w:rPr>
      </w:pPr>
      <w:r>
        <w:rPr>
          <w:bCs/>
          <w:color w:val="auto"/>
          <w:szCs w:val="21"/>
          <w:highlight w:val="none"/>
        </w:rPr>
        <w:t>产品技术参数与采购合同一致，性能指标达到规定的标准。</w:t>
      </w:r>
    </w:p>
    <w:p>
      <w:pPr>
        <w:numPr>
          <w:ilvl w:val="0"/>
          <w:numId w:val="18"/>
        </w:numPr>
        <w:spacing w:line="440" w:lineRule="exact"/>
        <w:rPr>
          <w:bCs/>
          <w:color w:val="auto"/>
          <w:szCs w:val="21"/>
          <w:highlight w:val="none"/>
        </w:rPr>
      </w:pPr>
      <w:r>
        <w:rPr>
          <w:bCs/>
          <w:color w:val="auto"/>
          <w:szCs w:val="21"/>
          <w:highlight w:val="none"/>
        </w:rPr>
        <w:t>产品技术资料、装箱单、系统质量合格证等资料齐全。</w:t>
      </w:r>
    </w:p>
    <w:p>
      <w:pPr>
        <w:numPr>
          <w:ilvl w:val="0"/>
          <w:numId w:val="18"/>
        </w:numPr>
        <w:spacing w:line="440" w:lineRule="exact"/>
        <w:rPr>
          <w:bCs/>
          <w:color w:val="auto"/>
          <w:szCs w:val="21"/>
          <w:highlight w:val="none"/>
        </w:rPr>
      </w:pPr>
      <w:r>
        <w:rPr>
          <w:bCs/>
          <w:color w:val="auto"/>
          <w:szCs w:val="21"/>
          <w:highlight w:val="none"/>
        </w:rPr>
        <w:t>在系统试运行期间无重大问题，所出现的问题得到解决，并运行正常。</w:t>
      </w:r>
    </w:p>
    <w:p>
      <w:pPr>
        <w:numPr>
          <w:ilvl w:val="0"/>
          <w:numId w:val="18"/>
        </w:numPr>
        <w:spacing w:line="440" w:lineRule="exact"/>
        <w:rPr>
          <w:bCs/>
          <w:color w:val="auto"/>
          <w:szCs w:val="21"/>
          <w:highlight w:val="none"/>
        </w:rPr>
      </w:pPr>
      <w:r>
        <w:rPr>
          <w:bCs/>
          <w:color w:val="auto"/>
          <w:szCs w:val="21"/>
          <w:highlight w:val="none"/>
        </w:rPr>
        <w:t>在规定时间内完成交货并验收，并经采购人确认。</w:t>
      </w:r>
    </w:p>
    <w:p>
      <w:pPr>
        <w:numPr>
          <w:ilvl w:val="0"/>
          <w:numId w:val="17"/>
        </w:numPr>
        <w:spacing w:line="440" w:lineRule="exact"/>
        <w:rPr>
          <w:bCs/>
          <w:color w:val="auto"/>
          <w:szCs w:val="21"/>
          <w:highlight w:val="none"/>
        </w:rPr>
      </w:pPr>
      <w:r>
        <w:rPr>
          <w:bCs/>
          <w:color w:val="auto"/>
          <w:szCs w:val="21"/>
          <w:highlight w:val="none"/>
        </w:rPr>
        <w:t>产品在安装调试并试运行后，所有性能指标经考核符合要求后，才作为最终验收。</w:t>
      </w:r>
    </w:p>
    <w:p>
      <w:pPr>
        <w:numPr>
          <w:ilvl w:val="0"/>
          <w:numId w:val="17"/>
        </w:numPr>
        <w:spacing w:line="440" w:lineRule="exact"/>
        <w:rPr>
          <w:bCs/>
          <w:color w:val="auto"/>
          <w:szCs w:val="21"/>
          <w:highlight w:val="none"/>
        </w:rPr>
      </w:pPr>
      <w:r>
        <w:rPr>
          <w:bCs/>
          <w:color w:val="auto"/>
          <w:szCs w:val="21"/>
          <w:highlight w:val="none"/>
        </w:rPr>
        <w:t>成交人提供的货物未达到评比文件规定要求，且对采购人造成损失的，由成交人承担一切责任，并赔偿所造成的损失。</w:t>
      </w:r>
    </w:p>
    <w:p>
      <w:pPr>
        <w:numPr>
          <w:ilvl w:val="0"/>
          <w:numId w:val="17"/>
        </w:numPr>
        <w:spacing w:line="440" w:lineRule="exact"/>
        <w:rPr>
          <w:bCs/>
          <w:color w:val="auto"/>
          <w:szCs w:val="21"/>
          <w:highlight w:val="none"/>
        </w:rPr>
      </w:pPr>
      <w:r>
        <w:rPr>
          <w:bCs/>
          <w:color w:val="auto"/>
          <w:szCs w:val="21"/>
          <w:highlight w:val="none"/>
        </w:rPr>
        <w:t>采购人需要制造商对成交人交付的产品（包括质量、技术参数等）进行确认的，制造商应予以配合，并出具书面意见。</w:t>
      </w:r>
    </w:p>
    <w:p>
      <w:pPr>
        <w:numPr>
          <w:ilvl w:val="0"/>
          <w:numId w:val="17"/>
        </w:numPr>
        <w:spacing w:line="440" w:lineRule="exact"/>
        <w:rPr>
          <w:bCs/>
          <w:color w:val="auto"/>
          <w:szCs w:val="21"/>
          <w:highlight w:val="none"/>
        </w:rPr>
      </w:pPr>
      <w:r>
        <w:rPr>
          <w:bCs/>
          <w:color w:val="auto"/>
          <w:szCs w:val="21"/>
          <w:highlight w:val="none"/>
        </w:rPr>
        <w:t>货物包装外表面应有产品标志，包括制造厂名、产品名称、产品型号或标记、制造日期或编号，包装必须经过减震处理，包装箱上应有对应运输标记，货物拆封前包装不得破损。货物包装材料归采购人所有。</w:t>
      </w:r>
    </w:p>
    <w:p>
      <w:pPr>
        <w:spacing w:line="440" w:lineRule="exact"/>
        <w:rPr>
          <w:b/>
          <w:bCs/>
          <w:color w:val="auto"/>
          <w:highlight w:val="none"/>
        </w:rPr>
      </w:pPr>
      <w:bookmarkStart w:id="54" w:name="_Toc78978996"/>
      <w:bookmarkStart w:id="55" w:name="_Toc27697"/>
      <w:r>
        <w:rPr>
          <w:b/>
          <w:bCs/>
          <w:color w:val="auto"/>
          <w:highlight w:val="none"/>
        </w:rPr>
        <w:t>3.2质量保证及售后服务</w:t>
      </w:r>
      <w:bookmarkEnd w:id="54"/>
      <w:bookmarkEnd w:id="55"/>
    </w:p>
    <w:p>
      <w:pPr>
        <w:spacing w:line="440" w:lineRule="exact"/>
        <w:rPr>
          <w:b/>
          <w:color w:val="auto"/>
          <w:szCs w:val="21"/>
          <w:highlight w:val="none"/>
        </w:rPr>
      </w:pPr>
      <w:r>
        <w:rPr>
          <w:b/>
          <w:color w:val="auto"/>
          <w:szCs w:val="21"/>
          <w:highlight w:val="none"/>
        </w:rPr>
        <w:t>3.2.1产品质量保证期</w:t>
      </w:r>
    </w:p>
    <w:p>
      <w:pPr>
        <w:numPr>
          <w:ilvl w:val="0"/>
          <w:numId w:val="19"/>
        </w:numPr>
        <w:spacing w:line="440" w:lineRule="exact"/>
        <w:rPr>
          <w:bCs/>
          <w:color w:val="auto"/>
          <w:szCs w:val="21"/>
          <w:highlight w:val="none"/>
        </w:rPr>
      </w:pPr>
      <w:r>
        <w:rPr>
          <w:color w:val="auto"/>
          <w:sz w:val="22"/>
          <w:highlight w:val="none"/>
        </w:rPr>
        <w:t>设备保修期至少为</w:t>
      </w:r>
      <w:r>
        <w:rPr>
          <w:color w:val="auto"/>
          <w:sz w:val="22"/>
          <w:highlight w:val="none"/>
          <w:u w:val="single"/>
        </w:rPr>
        <w:t>1年</w:t>
      </w:r>
      <w:r>
        <w:rPr>
          <w:color w:val="auto"/>
          <w:sz w:val="22"/>
          <w:highlight w:val="none"/>
        </w:rPr>
        <w:t>，自双方签署验收合格报告之日起</w:t>
      </w:r>
      <w:r>
        <w:rPr>
          <w:b/>
          <w:bCs/>
          <w:color w:val="auto"/>
          <w:szCs w:val="21"/>
          <w:highlight w:val="none"/>
        </w:rPr>
        <w:t>。</w:t>
      </w:r>
      <w:r>
        <w:rPr>
          <w:color w:val="auto"/>
          <w:sz w:val="22"/>
          <w:highlight w:val="none"/>
        </w:rPr>
        <w:t>在保修期内，设备在正常使用维护条件下发生故障或损坏，供应商将负责免费维修，所需换件费用和人工费用、均由供应商承担。</w:t>
      </w:r>
      <w:r>
        <w:rPr>
          <w:color w:val="auto"/>
          <w:szCs w:val="21"/>
          <w:highlight w:val="none"/>
        </w:rPr>
        <w:t>设备必须是全新未使用过的，质量合格，无损坏的，功能完整的成套设备。</w:t>
      </w:r>
      <w:r>
        <w:rPr>
          <w:bCs/>
          <w:color w:val="auto"/>
          <w:szCs w:val="21"/>
          <w:highlight w:val="none"/>
        </w:rPr>
        <w:t>为保证服务质量，</w:t>
      </w:r>
      <w:r>
        <w:rPr>
          <w:b/>
          <w:color w:val="auto"/>
          <w:szCs w:val="21"/>
          <w:highlight w:val="none"/>
        </w:rPr>
        <w:t>需提供原厂售后服务承诺函并加盖制造商鲜章</w:t>
      </w:r>
      <w:r>
        <w:rPr>
          <w:bCs/>
          <w:color w:val="auto"/>
          <w:szCs w:val="21"/>
          <w:highlight w:val="none"/>
        </w:rPr>
        <w:t>，后续需免费完成安装调试工作。（若供应商有更优惠的质保期，请在响应文件中明确应答）</w:t>
      </w:r>
    </w:p>
    <w:p>
      <w:pPr>
        <w:numPr>
          <w:ilvl w:val="0"/>
          <w:numId w:val="19"/>
        </w:numPr>
        <w:spacing w:line="440" w:lineRule="exact"/>
        <w:rPr>
          <w:bCs/>
          <w:color w:val="auto"/>
          <w:szCs w:val="21"/>
          <w:highlight w:val="none"/>
        </w:rPr>
      </w:pPr>
      <w:r>
        <w:rPr>
          <w:bCs/>
          <w:color w:val="auto"/>
          <w:szCs w:val="21"/>
          <w:highlight w:val="none"/>
        </w:rPr>
        <w:t>响应产品属于国家规定“三包”范围的，其产品质量保证期不得低于“三包”规定。</w:t>
      </w:r>
    </w:p>
    <w:p>
      <w:pPr>
        <w:numPr>
          <w:ilvl w:val="0"/>
          <w:numId w:val="19"/>
        </w:numPr>
        <w:spacing w:line="440" w:lineRule="exact"/>
        <w:rPr>
          <w:bCs/>
          <w:color w:val="auto"/>
          <w:szCs w:val="21"/>
          <w:highlight w:val="none"/>
        </w:rPr>
      </w:pPr>
      <w:r>
        <w:rPr>
          <w:bCs/>
          <w:color w:val="auto"/>
          <w:szCs w:val="21"/>
          <w:highlight w:val="none"/>
        </w:rPr>
        <w:t>供应商的质量保证期承诺优于国家“三包”规定的，按供应商实际承诺执行。</w:t>
      </w:r>
    </w:p>
    <w:p>
      <w:pPr>
        <w:numPr>
          <w:ilvl w:val="0"/>
          <w:numId w:val="19"/>
        </w:numPr>
        <w:spacing w:line="440" w:lineRule="exact"/>
        <w:rPr>
          <w:bCs/>
          <w:color w:val="auto"/>
          <w:szCs w:val="21"/>
          <w:highlight w:val="none"/>
        </w:rPr>
      </w:pPr>
      <w:r>
        <w:rPr>
          <w:bCs/>
          <w:color w:val="auto"/>
          <w:szCs w:val="21"/>
          <w:highlight w:val="none"/>
        </w:rPr>
        <w:t>响应产品应由制造商负责标准售后服务。</w:t>
      </w:r>
    </w:p>
    <w:p>
      <w:pPr>
        <w:spacing w:line="440" w:lineRule="exact"/>
        <w:rPr>
          <w:b/>
          <w:color w:val="auto"/>
          <w:szCs w:val="21"/>
          <w:highlight w:val="none"/>
        </w:rPr>
      </w:pPr>
      <w:r>
        <w:rPr>
          <w:b/>
          <w:color w:val="auto"/>
          <w:szCs w:val="21"/>
          <w:highlight w:val="none"/>
        </w:rPr>
        <w:t>3.2.2售后服务内容</w:t>
      </w:r>
    </w:p>
    <w:p>
      <w:pPr>
        <w:numPr>
          <w:ilvl w:val="0"/>
          <w:numId w:val="0"/>
        </w:numPr>
        <w:spacing w:line="440" w:lineRule="exact"/>
        <w:ind w:leftChars="0" w:firstLine="420" w:firstLineChars="200"/>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成交供应商</w:t>
      </w:r>
      <w:r>
        <w:rPr>
          <w:rFonts w:ascii="Times New Roman" w:hAnsi="Times New Roman" w:eastAsia="宋体" w:cs="Times New Roman"/>
          <w:bCs/>
          <w:color w:val="auto"/>
          <w:szCs w:val="21"/>
          <w:highlight w:val="none"/>
        </w:rPr>
        <w:t>和制造商应当为采购人提供技术援助电话，解答采购人在使用中遇到的问题，及时为采购人提出解决问题的建议。</w:t>
      </w:r>
      <w:r>
        <w:rPr>
          <w:rFonts w:hint="eastAsia" w:ascii="Times New Roman" w:hAnsi="Times New Roman" w:eastAsia="宋体" w:cs="Times New Roman"/>
          <w:bCs/>
          <w:color w:val="auto"/>
          <w:szCs w:val="21"/>
          <w:highlight w:val="none"/>
        </w:rPr>
        <w:t>24 小时内提供技术响应（通过邮件、电话、视频）；48 小时内能够提供解决方案</w:t>
      </w:r>
      <w:r>
        <w:rPr>
          <w:rFonts w:hint="eastAsia" w:ascii="Times New Roman" w:hAnsi="Times New Roman" w:eastAsia="宋体" w:cs="Times New Roman"/>
          <w:bCs/>
          <w:color w:val="auto"/>
          <w:szCs w:val="21"/>
          <w:highlight w:val="none"/>
          <w:lang w:eastAsia="zh-CN"/>
        </w:rPr>
        <w:t>。</w:t>
      </w:r>
    </w:p>
    <w:p>
      <w:pPr>
        <w:spacing w:line="440" w:lineRule="exact"/>
        <w:rPr>
          <w:b/>
          <w:color w:val="auto"/>
          <w:szCs w:val="21"/>
          <w:highlight w:val="none"/>
        </w:rPr>
      </w:pPr>
      <w:r>
        <w:rPr>
          <w:b/>
          <w:color w:val="auto"/>
          <w:szCs w:val="21"/>
          <w:highlight w:val="none"/>
        </w:rPr>
        <w:t>3.2.3质保期外服务要求</w:t>
      </w:r>
    </w:p>
    <w:p>
      <w:pPr>
        <w:numPr>
          <w:ilvl w:val="0"/>
          <w:numId w:val="20"/>
        </w:numPr>
        <w:spacing w:line="440" w:lineRule="exact"/>
        <w:rPr>
          <w:bCs/>
          <w:color w:val="auto"/>
          <w:szCs w:val="21"/>
          <w:highlight w:val="none"/>
        </w:rPr>
      </w:pPr>
      <w:r>
        <w:rPr>
          <w:bCs/>
          <w:color w:val="auto"/>
          <w:szCs w:val="21"/>
          <w:highlight w:val="none"/>
        </w:rPr>
        <w:t>质量保证期过后，供应商和制造商应提供免费电话咨询服务，并应承诺提供产品上门维护服务，提供与保修期内同等质量的技术服务，包括服务响应时间、处理解决问题的效果等。</w:t>
      </w:r>
    </w:p>
    <w:p>
      <w:pPr>
        <w:numPr>
          <w:ilvl w:val="0"/>
          <w:numId w:val="20"/>
        </w:numPr>
        <w:spacing w:line="440" w:lineRule="exact"/>
        <w:rPr>
          <w:bCs/>
          <w:color w:val="auto"/>
          <w:szCs w:val="21"/>
          <w:highlight w:val="none"/>
        </w:rPr>
      </w:pPr>
      <w:r>
        <w:rPr>
          <w:bCs/>
          <w:color w:val="auto"/>
          <w:szCs w:val="21"/>
          <w:highlight w:val="none"/>
        </w:rPr>
        <w:t>质量保证期过后，采购人需要继续由原供应商和制造商提供售后服务的，终身提供技术支持，并以优惠价维修设备、提供损坏的零件和配套件，终身服务。</w:t>
      </w:r>
    </w:p>
    <w:p>
      <w:pPr>
        <w:spacing w:line="440" w:lineRule="exact"/>
        <w:rPr>
          <w:b/>
          <w:color w:val="auto"/>
          <w:szCs w:val="21"/>
          <w:highlight w:val="none"/>
        </w:rPr>
      </w:pPr>
      <w:r>
        <w:rPr>
          <w:b/>
          <w:color w:val="auto"/>
          <w:szCs w:val="21"/>
          <w:highlight w:val="none"/>
        </w:rPr>
        <w:t>3.2.4备品备件及易损件</w:t>
      </w:r>
    </w:p>
    <w:p>
      <w:pPr>
        <w:spacing w:line="440" w:lineRule="exact"/>
        <w:ind w:firstLine="420" w:firstLineChars="200"/>
        <w:rPr>
          <w:bCs/>
          <w:color w:val="auto"/>
          <w:szCs w:val="21"/>
          <w:highlight w:val="none"/>
        </w:rPr>
      </w:pPr>
      <w:r>
        <w:rPr>
          <w:bCs/>
          <w:color w:val="auto"/>
          <w:szCs w:val="21"/>
          <w:highlight w:val="none"/>
        </w:rPr>
        <w:t>成交人和制造商售后服务中，维修使用的备品备件及易损件应为原厂配件，未经采购人同意不得使用非原厂配件，常用的、容易损坏的备品备件及易损件的价格清单须在响应文件中列出。</w:t>
      </w:r>
      <w:bookmarkStart w:id="56" w:name="_Toc7027"/>
    </w:p>
    <w:p>
      <w:pPr>
        <w:spacing w:line="440" w:lineRule="exact"/>
        <w:ind w:firstLine="440" w:firstLineChars="200"/>
        <w:rPr>
          <w:b/>
          <w:bCs/>
          <w:color w:val="auto"/>
          <w:szCs w:val="21"/>
          <w:highlight w:val="none"/>
        </w:rPr>
      </w:pPr>
      <w:r>
        <w:rPr>
          <w:color w:val="auto"/>
          <w:sz w:val="22"/>
          <w:highlight w:val="none"/>
        </w:rPr>
        <w:t>供应商应对设备提供终身的维修服务、并保证设备所需零备件的长期供应。</w:t>
      </w:r>
    </w:p>
    <w:bookmarkEnd w:id="56"/>
    <w:p>
      <w:pPr>
        <w:spacing w:line="440" w:lineRule="exact"/>
        <w:rPr>
          <w:b/>
          <w:bCs/>
          <w:color w:val="auto"/>
          <w:highlight w:val="none"/>
        </w:rPr>
      </w:pPr>
      <w:bookmarkStart w:id="57" w:name="_Toc341777731"/>
      <w:bookmarkStart w:id="58" w:name="_Toc78978999"/>
      <w:bookmarkStart w:id="59" w:name="_Toc338159969"/>
      <w:r>
        <w:rPr>
          <w:b/>
          <w:bCs/>
          <w:color w:val="auto"/>
          <w:highlight w:val="none"/>
        </w:rPr>
        <w:t>3.3培训</w:t>
      </w:r>
      <w:bookmarkEnd w:id="57"/>
      <w:bookmarkEnd w:id="58"/>
      <w:bookmarkEnd w:id="59"/>
    </w:p>
    <w:p>
      <w:pPr>
        <w:pStyle w:val="11"/>
        <w:spacing w:line="440" w:lineRule="exact"/>
        <w:ind w:firstLine="440"/>
        <w:rPr>
          <w:color w:val="auto"/>
          <w:highlight w:val="none"/>
        </w:rPr>
      </w:pPr>
      <w:bookmarkStart w:id="60" w:name="_Toc13432"/>
      <w:r>
        <w:rPr>
          <w:color w:val="auto"/>
          <w:sz w:val="22"/>
          <w:highlight w:val="none"/>
        </w:rPr>
        <w:t>设备安装、调试、验收完成后，投标方对用户操作、维护人员进行免费培训，包括软件、硬件的操作和日常维护、典型应用工艺，培训时间</w:t>
      </w:r>
      <w:r>
        <w:rPr>
          <w:color w:val="auto"/>
          <w:sz w:val="22"/>
          <w:highlight w:val="none"/>
          <w:u w:val="single"/>
        </w:rPr>
        <w:t>不少于</w:t>
      </w:r>
      <w:r>
        <w:rPr>
          <w:rFonts w:hint="eastAsia"/>
          <w:color w:val="auto"/>
          <w:sz w:val="22"/>
          <w:highlight w:val="none"/>
          <w:u w:val="single"/>
          <w:lang w:val="en-US" w:eastAsia="zh-CN"/>
        </w:rPr>
        <w:t>3</w:t>
      </w:r>
      <w:r>
        <w:rPr>
          <w:color w:val="auto"/>
          <w:sz w:val="22"/>
          <w:highlight w:val="none"/>
          <w:u w:val="single"/>
        </w:rPr>
        <w:t>天</w:t>
      </w:r>
      <w:r>
        <w:rPr>
          <w:bCs/>
          <w:color w:val="auto"/>
          <w:szCs w:val="21"/>
          <w:highlight w:val="none"/>
        </w:rPr>
        <w:t>。</w:t>
      </w:r>
    </w:p>
    <w:p>
      <w:pPr>
        <w:spacing w:line="440" w:lineRule="exact"/>
        <w:rPr>
          <w:b/>
          <w:bCs/>
          <w:color w:val="auto"/>
          <w:highlight w:val="none"/>
        </w:rPr>
      </w:pPr>
      <w:bookmarkStart w:id="61" w:name="_Toc78979000"/>
      <w:r>
        <w:rPr>
          <w:b/>
          <w:bCs/>
          <w:color w:val="auto"/>
          <w:highlight w:val="none"/>
        </w:rPr>
        <w:t>3.4附件、图纸及包装要求</w:t>
      </w:r>
      <w:bookmarkEnd w:id="60"/>
      <w:bookmarkEnd w:id="61"/>
    </w:p>
    <w:p>
      <w:pPr>
        <w:spacing w:line="440" w:lineRule="exact"/>
        <w:ind w:firstLine="420" w:firstLineChars="200"/>
        <w:rPr>
          <w:bCs/>
          <w:color w:val="auto"/>
          <w:szCs w:val="21"/>
          <w:highlight w:val="none"/>
        </w:rPr>
      </w:pPr>
      <w:r>
        <w:rPr>
          <w:bCs/>
          <w:color w:val="auto"/>
          <w:szCs w:val="21"/>
          <w:highlight w:val="none"/>
        </w:rPr>
        <w:t>所有设备按照制造商规定的产品包装和随机标准附件为准。</w:t>
      </w:r>
    </w:p>
    <w:p>
      <w:pPr>
        <w:spacing w:line="440" w:lineRule="exact"/>
        <w:rPr>
          <w:b/>
          <w:bCs/>
          <w:color w:val="auto"/>
          <w:highlight w:val="none"/>
        </w:rPr>
      </w:pPr>
      <w:bookmarkStart w:id="62" w:name="_Toc78979001"/>
      <w:bookmarkStart w:id="63" w:name="_Toc4451"/>
      <w:r>
        <w:rPr>
          <w:b/>
          <w:bCs/>
          <w:color w:val="auto"/>
          <w:highlight w:val="none"/>
        </w:rPr>
        <w:t>3.5其他商务要求内容</w:t>
      </w:r>
      <w:bookmarkEnd w:id="62"/>
      <w:bookmarkEnd w:id="63"/>
    </w:p>
    <w:p>
      <w:pPr>
        <w:numPr>
          <w:ilvl w:val="0"/>
          <w:numId w:val="21"/>
        </w:numPr>
        <w:spacing w:line="440" w:lineRule="exact"/>
        <w:ind w:firstLine="440" w:firstLineChars="200"/>
        <w:rPr>
          <w:color w:val="auto"/>
          <w:sz w:val="22"/>
          <w:highlight w:val="none"/>
        </w:rPr>
      </w:pPr>
      <w:r>
        <w:rPr>
          <w:color w:val="auto"/>
          <w:sz w:val="22"/>
          <w:highlight w:val="none"/>
        </w:rPr>
        <w:t>包装箱应用新的坚固材料制成，适合长途运输，能空运、陆运和整体吊装，能防潮、防锈、防震。</w:t>
      </w:r>
    </w:p>
    <w:p>
      <w:pPr>
        <w:numPr>
          <w:ilvl w:val="0"/>
          <w:numId w:val="21"/>
        </w:numPr>
        <w:spacing w:line="440" w:lineRule="exact"/>
        <w:ind w:firstLine="440" w:firstLineChars="200"/>
        <w:rPr>
          <w:color w:val="auto"/>
          <w:sz w:val="22"/>
          <w:highlight w:val="none"/>
        </w:rPr>
      </w:pPr>
      <w:r>
        <w:rPr>
          <w:color w:val="auto"/>
          <w:sz w:val="22"/>
          <w:highlight w:val="none"/>
        </w:rPr>
        <w:t>运输方式为航空运输及/或陆地运输。设备由制造工厂到交货地点的运输由卖方负责，运输费、保险费应单独报价、且计入投标总价之内。</w:t>
      </w:r>
    </w:p>
    <w:p>
      <w:pPr>
        <w:spacing w:line="440" w:lineRule="exact"/>
        <w:ind w:firstLine="420" w:firstLineChars="200"/>
        <w:rPr>
          <w:color w:val="auto"/>
          <w:kern w:val="0"/>
          <w:szCs w:val="21"/>
          <w:highlight w:val="none"/>
          <w:shd w:val="clear" w:color="auto" w:fill="FFFFFF"/>
        </w:rPr>
      </w:pPr>
      <w:r>
        <w:rPr>
          <w:bCs/>
          <w:color w:val="auto"/>
          <w:szCs w:val="21"/>
          <w:highlight w:val="none"/>
        </w:rPr>
        <w:t>3）其他未尽事宜由供需双方在采购合同中详细约定</w:t>
      </w:r>
      <w:r>
        <w:rPr>
          <w:color w:val="auto"/>
          <w:kern w:val="0"/>
          <w:szCs w:val="21"/>
          <w:highlight w:val="none"/>
          <w:shd w:val="clear" w:color="auto" w:fill="FFFFFF"/>
        </w:rPr>
        <w:t>。</w:t>
      </w:r>
    </w:p>
    <w:p>
      <w:pPr>
        <w:rPr>
          <w:color w:val="auto"/>
          <w:kern w:val="0"/>
          <w:szCs w:val="21"/>
          <w:highlight w:val="none"/>
          <w:shd w:val="clear" w:color="auto" w:fill="FFFFFF"/>
        </w:rPr>
      </w:pPr>
      <w:r>
        <w:rPr>
          <w:b/>
          <w:bCs/>
          <w:color w:val="auto"/>
          <w:kern w:val="0"/>
          <w:szCs w:val="21"/>
          <w:highlight w:val="none"/>
          <w:shd w:val="clear" w:color="auto" w:fill="FFFFFF"/>
        </w:rPr>
        <w:br w:type="page"/>
      </w:r>
    </w:p>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r>
        <w:rPr>
          <w:rFonts w:eastAsia="宋体"/>
          <w:bCs w:val="0"/>
          <w:color w:val="auto"/>
          <w:kern w:val="2"/>
          <w:szCs w:val="36"/>
          <w:highlight w:val="none"/>
        </w:rPr>
        <w:t>第五章 评比响应文件格式</w:t>
      </w:r>
      <w:bookmarkEnd w:id="50"/>
    </w:p>
    <w:p>
      <w:pPr>
        <w:ind w:firstLine="1470" w:firstLineChars="700"/>
        <w:rPr>
          <w:color w:val="auto"/>
          <w:kern w:val="44"/>
          <w:sz w:val="36"/>
          <w:szCs w:val="36"/>
          <w:highlight w:val="none"/>
          <w:u w:val="single"/>
        </w:rPr>
      </w:pPr>
      <w:bookmarkStart w:id="64" w:name="_Toc10213451"/>
      <w:bookmarkStart w:id="65" w:name="_Toc68963480"/>
      <w:r>
        <w:rPr>
          <w:color w:val="auto"/>
          <w:kern w:val="0"/>
          <w:szCs w:val="21"/>
          <w:highlight w:val="none"/>
          <w:shd w:val="clear" w:color="auto" w:fill="FFFFFF"/>
        </w:rPr>
        <w:t xml:space="preserve">    </w:t>
      </w:r>
      <w:r>
        <w:rPr>
          <w:color w:val="auto"/>
          <w:kern w:val="44"/>
          <w:sz w:val="36"/>
          <w:szCs w:val="36"/>
          <w:highlight w:val="none"/>
          <w:u w:val="single"/>
        </w:rPr>
        <w:t xml:space="preserve">       项目名称       </w:t>
      </w: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b/>
          <w:color w:val="auto"/>
          <w:sz w:val="52"/>
          <w:szCs w:val="52"/>
          <w:highlight w:val="none"/>
        </w:rPr>
      </w:pPr>
      <w:r>
        <w:rPr>
          <w:b/>
          <w:color w:val="auto"/>
          <w:sz w:val="52"/>
          <w:szCs w:val="52"/>
          <w:highlight w:val="none"/>
        </w:rPr>
        <w:t>评 比 响 应 文 件</w:t>
      </w:r>
    </w:p>
    <w:p>
      <w:pPr>
        <w:jc w:val="center"/>
        <w:rPr>
          <w:color w:val="auto"/>
          <w:kern w:val="44"/>
          <w:sz w:val="32"/>
          <w:szCs w:val="32"/>
          <w:highlight w:val="none"/>
        </w:rPr>
      </w:pPr>
      <w:r>
        <w:rPr>
          <w:color w:val="auto"/>
          <w:kern w:val="44"/>
          <w:sz w:val="32"/>
          <w:szCs w:val="32"/>
          <w:highlight w:val="none"/>
        </w:rPr>
        <w:t>项目编号：</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left="1418" w:leftChars="675"/>
        <w:rPr>
          <w:color w:val="auto"/>
          <w:sz w:val="28"/>
          <w:szCs w:val="28"/>
          <w:highlight w:val="none"/>
        </w:rPr>
      </w:pPr>
      <w:r>
        <w:rPr>
          <w:color w:val="auto"/>
          <w:sz w:val="28"/>
          <w:szCs w:val="28"/>
          <w:highlight w:val="none"/>
        </w:rPr>
        <w:t>供应商名称（盖章）：</w:t>
      </w:r>
    </w:p>
    <w:p>
      <w:pPr>
        <w:ind w:left="1418" w:leftChars="675"/>
        <w:rPr>
          <w:color w:val="auto"/>
          <w:sz w:val="28"/>
          <w:szCs w:val="28"/>
          <w:highlight w:val="none"/>
        </w:rPr>
      </w:pPr>
      <w:r>
        <w:rPr>
          <w:color w:val="auto"/>
          <w:sz w:val="28"/>
          <w:szCs w:val="28"/>
          <w:highlight w:val="none"/>
        </w:rPr>
        <w:t>法定代表人（或法定代表人授权代表）（签署或盖章）：</w:t>
      </w:r>
    </w:p>
    <w:p>
      <w:pPr>
        <w:jc w:val="center"/>
        <w:rPr>
          <w:color w:val="auto"/>
          <w:sz w:val="28"/>
          <w:szCs w:val="28"/>
          <w:highlight w:val="none"/>
        </w:rPr>
      </w:pPr>
    </w:p>
    <w:p>
      <w:pPr>
        <w:jc w:val="center"/>
        <w:rPr>
          <w:color w:val="auto"/>
          <w:sz w:val="28"/>
          <w:szCs w:val="28"/>
          <w:highlight w:val="none"/>
        </w:rPr>
      </w:pPr>
      <w:r>
        <w:rPr>
          <w:color w:val="auto"/>
          <w:sz w:val="28"/>
          <w:szCs w:val="28"/>
          <w:highlight w:val="none"/>
        </w:rPr>
        <w:t>日期：  年   月   日</w:t>
      </w:r>
    </w:p>
    <w:p>
      <w:pPr>
        <w:ind w:firstLine="1470" w:firstLineChars="700"/>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pStyle w:val="3"/>
        <w:rPr>
          <w:rFonts w:ascii="Times New Roman" w:hAnsi="Times New Roman" w:eastAsia="宋体"/>
          <w:color w:val="auto"/>
          <w:sz w:val="32"/>
          <w:highlight w:val="none"/>
        </w:rPr>
      </w:pPr>
    </w:p>
    <w:bookmarkEnd w:id="64"/>
    <w:bookmarkEnd w:id="65"/>
    <w:p>
      <w:pPr>
        <w:rPr>
          <w:rFonts w:ascii="Times New Roman" w:hAnsi="Times New Roman" w:eastAsia="宋体"/>
          <w:color w:val="auto"/>
          <w:sz w:val="32"/>
          <w:highlight w:val="none"/>
        </w:rPr>
      </w:pPr>
      <w:bookmarkStart w:id="66" w:name="_Toc68963492"/>
      <w:r>
        <w:rPr>
          <w:rFonts w:ascii="Times New Roman" w:hAnsi="Times New Roman" w:eastAsia="宋体"/>
          <w:color w:val="auto"/>
          <w:sz w:val="32"/>
          <w:highlight w:val="none"/>
        </w:rPr>
        <w:br w:type="page"/>
      </w:r>
    </w:p>
    <w:p>
      <w:pPr>
        <w:pStyle w:val="3"/>
        <w:rPr>
          <w:rFonts w:ascii="Times New Roman" w:hAnsi="Times New Roman" w:eastAsia="宋体"/>
          <w:color w:val="auto"/>
          <w:sz w:val="32"/>
          <w:highlight w:val="none"/>
        </w:rPr>
      </w:pPr>
      <w:r>
        <w:rPr>
          <w:rFonts w:ascii="Times New Roman" w:hAnsi="Times New Roman" w:eastAsia="宋体"/>
          <w:color w:val="auto"/>
          <w:sz w:val="32"/>
          <w:highlight w:val="none"/>
        </w:rPr>
        <w:t>评比函</w:t>
      </w:r>
    </w:p>
    <w:p>
      <w:pPr>
        <w:rPr>
          <w:color w:val="auto"/>
          <w:highlight w:val="none"/>
        </w:rPr>
      </w:pPr>
    </w:p>
    <w:p>
      <w:pPr>
        <w:adjustRightInd w:val="0"/>
        <w:snapToGrid w:val="0"/>
        <w:spacing w:line="440" w:lineRule="exact"/>
        <w:rPr>
          <w:color w:val="auto"/>
          <w:szCs w:val="21"/>
          <w:highlight w:val="none"/>
        </w:rPr>
      </w:pPr>
      <w:r>
        <w:rPr>
          <w:color w:val="auto"/>
          <w:szCs w:val="21"/>
          <w:highlight w:val="none"/>
        </w:rPr>
        <w:t xml:space="preserve">评比编号： </w:t>
      </w:r>
    </w:p>
    <w:p>
      <w:pPr>
        <w:adjustRightInd w:val="0"/>
        <w:snapToGrid w:val="0"/>
        <w:spacing w:line="440" w:lineRule="exact"/>
        <w:rPr>
          <w:color w:val="auto"/>
          <w:szCs w:val="21"/>
          <w:highlight w:val="none"/>
        </w:rPr>
      </w:pPr>
      <w:r>
        <w:rPr>
          <w:color w:val="auto"/>
          <w:szCs w:val="21"/>
          <w:highlight w:val="none"/>
        </w:rPr>
        <w:t xml:space="preserve">项目名称： </w:t>
      </w:r>
    </w:p>
    <w:p>
      <w:pPr>
        <w:adjustRightInd w:val="0"/>
        <w:snapToGrid w:val="0"/>
        <w:spacing w:line="440" w:lineRule="exact"/>
        <w:rPr>
          <w:color w:val="auto"/>
          <w:szCs w:val="21"/>
          <w:highlight w:val="none"/>
          <w:u w:val="single"/>
        </w:rPr>
      </w:pPr>
      <w:r>
        <w:rPr>
          <w:b/>
          <w:bCs/>
          <w:color w:val="auto"/>
          <w:szCs w:val="21"/>
          <w:highlight w:val="none"/>
        </w:rPr>
        <w:t xml:space="preserve">致: </w:t>
      </w:r>
      <w:r>
        <w:rPr>
          <w:b/>
          <w:bCs/>
          <w:color w:val="auto"/>
          <w:szCs w:val="21"/>
          <w:highlight w:val="none"/>
          <w:u w:val="single"/>
        </w:rPr>
        <w:t xml:space="preserve">                 </w:t>
      </w:r>
      <w:r>
        <w:rPr>
          <w:color w:val="auto"/>
          <w:szCs w:val="21"/>
          <w:highlight w:val="none"/>
        </w:rPr>
        <w:t>（采购代理机构名称）：</w:t>
      </w:r>
    </w:p>
    <w:p>
      <w:pPr>
        <w:tabs>
          <w:tab w:val="left" w:pos="2700"/>
        </w:tabs>
        <w:adjustRightInd w:val="0"/>
        <w:snapToGrid w:val="0"/>
        <w:spacing w:line="440" w:lineRule="exact"/>
        <w:ind w:firstLine="420" w:firstLineChars="200"/>
        <w:rPr>
          <w:color w:val="auto"/>
          <w:szCs w:val="21"/>
          <w:highlight w:val="none"/>
        </w:rPr>
      </w:pPr>
      <w:r>
        <w:rPr>
          <w:color w:val="auto"/>
          <w:szCs w:val="21"/>
          <w:highlight w:val="none"/>
        </w:rPr>
        <w:t>1、我们收到并研究了贵单位的评比文件，对全部评比文件予以确认，愿意按评比文件规定的内容，承担本项目的服务，并保证严格履行我们所承诺的责任和义务。</w:t>
      </w:r>
    </w:p>
    <w:p>
      <w:pPr>
        <w:tabs>
          <w:tab w:val="left" w:pos="2700"/>
        </w:tabs>
        <w:adjustRightInd w:val="0"/>
        <w:snapToGrid w:val="0"/>
        <w:spacing w:line="440" w:lineRule="exact"/>
        <w:ind w:firstLine="420" w:firstLineChars="200"/>
        <w:rPr>
          <w:color w:val="auto"/>
          <w:szCs w:val="21"/>
          <w:highlight w:val="none"/>
        </w:rPr>
      </w:pPr>
      <w:r>
        <w:rPr>
          <w:color w:val="auto"/>
          <w:szCs w:val="21"/>
          <w:highlight w:val="none"/>
        </w:rPr>
        <w:t>2、我单位针对本项目的总报价为</w:t>
      </w:r>
      <w:r>
        <w:rPr>
          <w:b/>
          <w:color w:val="auto"/>
          <w:szCs w:val="21"/>
          <w:highlight w:val="none"/>
          <w:u w:val="single"/>
        </w:rPr>
        <w:t xml:space="preserve">          </w:t>
      </w:r>
      <w:r>
        <w:rPr>
          <w:bCs/>
          <w:color w:val="auto"/>
          <w:szCs w:val="21"/>
          <w:highlight w:val="none"/>
        </w:rPr>
        <w:t>万元</w:t>
      </w:r>
      <w:r>
        <w:rPr>
          <w:color w:val="auto"/>
          <w:szCs w:val="21"/>
          <w:highlight w:val="none"/>
        </w:rPr>
        <w:t>，</w:t>
      </w:r>
      <w:r>
        <w:rPr>
          <w:rFonts w:hint="eastAsia"/>
          <w:color w:val="auto"/>
          <w:szCs w:val="21"/>
          <w:highlight w:val="none"/>
          <w:lang w:val="en-US" w:eastAsia="zh-CN"/>
        </w:rPr>
        <w:t>供货期</w:t>
      </w:r>
      <w:r>
        <w:rPr>
          <w:color w:val="auto"/>
          <w:szCs w:val="21"/>
          <w:highlight w:val="none"/>
        </w:rPr>
        <w:t>：</w:t>
      </w:r>
      <w:r>
        <w:rPr>
          <w:b/>
          <w:color w:val="auto"/>
          <w:szCs w:val="21"/>
          <w:highlight w:val="none"/>
          <w:u w:val="single"/>
        </w:rPr>
        <w:t xml:space="preserve">        </w:t>
      </w:r>
      <w:r>
        <w:rPr>
          <w:color w:val="auto"/>
          <w:szCs w:val="21"/>
          <w:highlight w:val="none"/>
        </w:rPr>
        <w:t xml:space="preserve"> </w:t>
      </w:r>
      <w:r>
        <w:rPr>
          <w:b/>
          <w:color w:val="auto"/>
          <w:szCs w:val="21"/>
          <w:highlight w:val="none"/>
          <w:u w:val="none"/>
        </w:rPr>
        <w:t>。</w:t>
      </w:r>
      <w:r>
        <w:rPr>
          <w:color w:val="auto"/>
          <w:szCs w:val="21"/>
          <w:highlight w:val="none"/>
        </w:rPr>
        <w:t>本评比报价己考虑了所有因素，评比有效期内，评比价格保持不变。</w:t>
      </w:r>
    </w:p>
    <w:p>
      <w:pPr>
        <w:adjustRightInd w:val="0"/>
        <w:snapToGrid w:val="0"/>
        <w:spacing w:line="440" w:lineRule="exact"/>
        <w:ind w:firstLine="420" w:firstLineChars="200"/>
        <w:rPr>
          <w:color w:val="auto"/>
          <w:szCs w:val="21"/>
          <w:highlight w:val="none"/>
        </w:rPr>
      </w:pPr>
      <w:r>
        <w:rPr>
          <w:color w:val="auto"/>
          <w:szCs w:val="21"/>
          <w:highlight w:val="none"/>
        </w:rPr>
        <w:t>3、我们已详细审查全部评比文件，包括修改文件（如果有的话）以及全部参考资料和有关附件。我们完全理解并同意放弃对这方面有不明及误解的权利。</w:t>
      </w:r>
    </w:p>
    <w:p>
      <w:pPr>
        <w:adjustRightInd w:val="0"/>
        <w:snapToGrid w:val="0"/>
        <w:spacing w:line="440" w:lineRule="exact"/>
        <w:ind w:firstLine="420" w:firstLineChars="200"/>
        <w:rPr>
          <w:color w:val="auto"/>
          <w:szCs w:val="21"/>
          <w:highlight w:val="none"/>
        </w:rPr>
      </w:pPr>
      <w:r>
        <w:rPr>
          <w:color w:val="auto"/>
          <w:szCs w:val="21"/>
          <w:highlight w:val="none"/>
        </w:rPr>
        <w:t>4、如果我们成交，我们保证按评比文件的要求和评比供应商签订服务合同，并成立项目部，选派专业管理人员和服务人员实施服务合同。</w:t>
      </w:r>
    </w:p>
    <w:p>
      <w:pPr>
        <w:adjustRightInd w:val="0"/>
        <w:snapToGrid w:val="0"/>
        <w:spacing w:line="440" w:lineRule="exact"/>
        <w:ind w:firstLine="420" w:firstLineChars="200"/>
        <w:rPr>
          <w:color w:val="auto"/>
          <w:szCs w:val="21"/>
          <w:highlight w:val="none"/>
        </w:rPr>
      </w:pPr>
      <w:r>
        <w:rPr>
          <w:color w:val="auto"/>
          <w:szCs w:val="21"/>
          <w:highlight w:val="none"/>
        </w:rPr>
        <w:t>5、我们同意从评比之日起</w:t>
      </w:r>
      <w:r>
        <w:rPr>
          <w:color w:val="auto"/>
          <w:szCs w:val="21"/>
          <w:highlight w:val="none"/>
          <w:u w:val="single"/>
        </w:rPr>
        <w:t>90</w:t>
      </w:r>
      <w:r>
        <w:rPr>
          <w:color w:val="auto"/>
          <w:szCs w:val="21"/>
          <w:highlight w:val="none"/>
        </w:rPr>
        <w:t>天内遵守本评比文件，在此期限期满之前的任何时间，本评比文件一直对我们具有约束力。</w:t>
      </w:r>
    </w:p>
    <w:p>
      <w:pPr>
        <w:adjustRightInd w:val="0"/>
        <w:snapToGrid w:val="0"/>
        <w:spacing w:line="440" w:lineRule="exact"/>
        <w:ind w:firstLine="420" w:firstLineChars="200"/>
        <w:rPr>
          <w:color w:val="auto"/>
          <w:szCs w:val="21"/>
          <w:highlight w:val="none"/>
        </w:rPr>
      </w:pPr>
      <w:r>
        <w:rPr>
          <w:color w:val="auto"/>
          <w:szCs w:val="21"/>
          <w:highlight w:val="none"/>
        </w:rPr>
        <w:t>6、在制定和执行正式合同之前，本评比文件、评比响应文件连同你方书面的成交通知书，应构成我们双方之间有约束力的合同。</w:t>
      </w:r>
    </w:p>
    <w:p>
      <w:pPr>
        <w:adjustRightInd w:val="0"/>
        <w:snapToGrid w:val="0"/>
        <w:spacing w:line="440" w:lineRule="exact"/>
        <w:ind w:firstLine="420" w:firstLineChars="200"/>
        <w:rPr>
          <w:color w:val="auto"/>
          <w:szCs w:val="21"/>
          <w:highlight w:val="none"/>
        </w:rPr>
      </w:pPr>
      <w:r>
        <w:rPr>
          <w:color w:val="auto"/>
          <w:szCs w:val="21"/>
          <w:highlight w:val="none"/>
        </w:rPr>
        <w:t>7、我们理解你们并不一定接受最低标报价的评比或受到的任何评比响应文件的约束，同时也理解，你方不负担我们的任何评比费用。</w:t>
      </w:r>
    </w:p>
    <w:p>
      <w:pPr>
        <w:adjustRightInd w:val="0"/>
        <w:snapToGrid w:val="0"/>
        <w:spacing w:line="440" w:lineRule="exact"/>
        <w:rPr>
          <w:color w:val="auto"/>
          <w:szCs w:val="21"/>
          <w:highlight w:val="none"/>
        </w:rPr>
      </w:pPr>
    </w:p>
    <w:p>
      <w:pPr>
        <w:adjustRightInd w:val="0"/>
        <w:snapToGrid w:val="0"/>
        <w:spacing w:line="440" w:lineRule="exact"/>
        <w:rPr>
          <w:color w:val="auto"/>
          <w:szCs w:val="21"/>
          <w:highlight w:val="none"/>
          <w:u w:val="single"/>
        </w:rPr>
      </w:pPr>
      <w:r>
        <w:rPr>
          <w:color w:val="auto"/>
          <w:szCs w:val="21"/>
          <w:highlight w:val="none"/>
        </w:rPr>
        <w:t>评比供应商：</w:t>
      </w:r>
      <w:r>
        <w:rPr>
          <w:color w:val="auto"/>
          <w:szCs w:val="21"/>
          <w:highlight w:val="none"/>
          <w:u w:val="single"/>
        </w:rPr>
        <w:t xml:space="preserve">  （公章）</w:t>
      </w:r>
    </w:p>
    <w:p>
      <w:pPr>
        <w:adjustRightInd w:val="0"/>
        <w:snapToGrid w:val="0"/>
        <w:spacing w:line="440" w:lineRule="exact"/>
        <w:rPr>
          <w:color w:val="auto"/>
          <w:szCs w:val="21"/>
          <w:highlight w:val="none"/>
        </w:rPr>
      </w:pPr>
      <w:r>
        <w:rPr>
          <w:color w:val="auto"/>
          <w:szCs w:val="21"/>
          <w:highlight w:val="none"/>
        </w:rPr>
        <w:t>法定代表人（或法定代表人授权代表）或自然人（签署或盖章）：</w:t>
      </w:r>
    </w:p>
    <w:p>
      <w:pPr>
        <w:adjustRightInd w:val="0"/>
        <w:snapToGrid w:val="0"/>
        <w:spacing w:line="440" w:lineRule="exact"/>
        <w:rPr>
          <w:color w:val="auto"/>
          <w:szCs w:val="21"/>
          <w:highlight w:val="none"/>
        </w:rPr>
      </w:pPr>
      <w:r>
        <w:rPr>
          <w:color w:val="auto"/>
          <w:szCs w:val="21"/>
          <w:highlight w:val="none"/>
        </w:rPr>
        <w:t>地址：</w:t>
      </w:r>
    </w:p>
    <w:p>
      <w:pPr>
        <w:adjustRightInd w:val="0"/>
        <w:snapToGrid w:val="0"/>
        <w:spacing w:line="440" w:lineRule="exact"/>
        <w:rPr>
          <w:color w:val="auto"/>
          <w:szCs w:val="21"/>
          <w:highlight w:val="none"/>
        </w:rPr>
      </w:pPr>
      <w:r>
        <w:rPr>
          <w:color w:val="auto"/>
          <w:szCs w:val="21"/>
          <w:highlight w:val="none"/>
        </w:rPr>
        <w:t>电话：</w:t>
      </w:r>
    </w:p>
    <w:p>
      <w:pPr>
        <w:adjustRightInd w:val="0"/>
        <w:snapToGrid w:val="0"/>
        <w:spacing w:line="440" w:lineRule="exact"/>
        <w:rPr>
          <w:color w:val="auto"/>
          <w:szCs w:val="21"/>
          <w:highlight w:val="none"/>
        </w:rPr>
      </w:pPr>
      <w:r>
        <w:rPr>
          <w:color w:val="auto"/>
          <w:szCs w:val="21"/>
          <w:highlight w:val="none"/>
        </w:rPr>
        <w:t>传真：</w:t>
      </w:r>
    </w:p>
    <w:p>
      <w:pPr>
        <w:adjustRightInd w:val="0"/>
        <w:snapToGrid w:val="0"/>
        <w:spacing w:line="440" w:lineRule="exact"/>
        <w:rPr>
          <w:color w:val="auto"/>
          <w:szCs w:val="21"/>
          <w:highlight w:val="none"/>
        </w:rPr>
      </w:pPr>
      <w:r>
        <w:rPr>
          <w:color w:val="auto"/>
          <w:szCs w:val="21"/>
          <w:highlight w:val="none"/>
        </w:rPr>
        <w:t>日期：年 月 日</w:t>
      </w:r>
      <w:bookmarkStart w:id="67" w:name="_Toc68963481"/>
    </w:p>
    <w:p>
      <w:pPr>
        <w:adjustRightInd w:val="0"/>
        <w:snapToGrid w:val="0"/>
        <w:spacing w:line="440" w:lineRule="exact"/>
        <w:rPr>
          <w:color w:val="auto"/>
          <w:szCs w:val="21"/>
          <w:highlight w:val="none"/>
        </w:rPr>
      </w:pPr>
      <w:r>
        <w:rPr>
          <w:color w:val="auto"/>
          <w:szCs w:val="21"/>
          <w:highlight w:val="none"/>
        </w:rPr>
        <w:br w:type="page"/>
      </w:r>
    </w:p>
    <w:bookmarkEnd w:id="67"/>
    <w:p>
      <w:pPr>
        <w:pStyle w:val="3"/>
        <w:rPr>
          <w:rFonts w:ascii="Times New Roman" w:hAnsi="Times New Roman" w:eastAsia="宋体"/>
          <w:color w:val="auto"/>
          <w:sz w:val="32"/>
          <w:highlight w:val="none"/>
        </w:rPr>
      </w:pPr>
      <w:bookmarkStart w:id="68" w:name="_Toc10213455"/>
      <w:bookmarkStart w:id="69" w:name="_Toc68963488"/>
      <w:r>
        <w:rPr>
          <w:rFonts w:ascii="Times New Roman" w:hAnsi="Times New Roman" w:eastAsia="宋体"/>
          <w:color w:val="auto"/>
          <w:sz w:val="32"/>
          <w:highlight w:val="none"/>
        </w:rPr>
        <w:t>二、评比报价明细表</w:t>
      </w:r>
      <w:bookmarkEnd w:id="68"/>
    </w:p>
    <w:p>
      <w:pPr>
        <w:pStyle w:val="22"/>
        <w:spacing w:line="360" w:lineRule="auto"/>
        <w:rPr>
          <w:rFonts w:ascii="Times New Roman" w:hAnsi="Times New Roman"/>
          <w:b/>
          <w:bCs/>
          <w:color w:val="auto"/>
          <w:sz w:val="24"/>
          <w:szCs w:val="21"/>
          <w:highlight w:val="none"/>
        </w:rPr>
      </w:pPr>
    </w:p>
    <w:p>
      <w:pPr>
        <w:spacing w:line="560" w:lineRule="exact"/>
        <w:ind w:firstLine="420" w:firstLineChars="200"/>
        <w:rPr>
          <w:color w:val="auto"/>
          <w:szCs w:val="21"/>
          <w:highlight w:val="none"/>
        </w:rPr>
      </w:pPr>
      <w:r>
        <w:rPr>
          <w:color w:val="auto"/>
          <w:szCs w:val="21"/>
          <w:highlight w:val="none"/>
        </w:rPr>
        <w:t>项目名称：                                                   单位：元</w:t>
      </w:r>
    </w:p>
    <w:tbl>
      <w:tblPr>
        <w:tblStyle w:val="39"/>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pPr>
              <w:jc w:val="center"/>
              <w:rPr>
                <w:b/>
                <w:color w:val="auto"/>
                <w:szCs w:val="21"/>
                <w:highlight w:val="none"/>
              </w:rPr>
            </w:pPr>
            <w:r>
              <w:rPr>
                <w:b/>
                <w:color w:val="auto"/>
                <w:szCs w:val="21"/>
                <w:highlight w:val="none"/>
              </w:rPr>
              <w:t>序号</w:t>
            </w:r>
          </w:p>
        </w:tc>
        <w:tc>
          <w:tcPr>
            <w:tcW w:w="934" w:type="dxa"/>
            <w:vAlign w:val="center"/>
          </w:tcPr>
          <w:p>
            <w:pPr>
              <w:jc w:val="center"/>
              <w:rPr>
                <w:b/>
                <w:color w:val="auto"/>
                <w:szCs w:val="21"/>
                <w:highlight w:val="none"/>
              </w:rPr>
            </w:pPr>
            <w:r>
              <w:rPr>
                <w:b/>
                <w:color w:val="auto"/>
                <w:szCs w:val="21"/>
                <w:highlight w:val="none"/>
              </w:rPr>
              <w:t>名称</w:t>
            </w:r>
          </w:p>
        </w:tc>
        <w:tc>
          <w:tcPr>
            <w:tcW w:w="2474" w:type="dxa"/>
            <w:vAlign w:val="center"/>
          </w:tcPr>
          <w:p>
            <w:pPr>
              <w:jc w:val="center"/>
              <w:rPr>
                <w:b/>
                <w:color w:val="auto"/>
                <w:szCs w:val="21"/>
                <w:highlight w:val="none"/>
              </w:rPr>
            </w:pPr>
            <w:r>
              <w:rPr>
                <w:b/>
                <w:color w:val="auto"/>
                <w:szCs w:val="21"/>
                <w:highlight w:val="none"/>
              </w:rPr>
              <w:t>品牌、规格型号</w:t>
            </w:r>
          </w:p>
        </w:tc>
        <w:tc>
          <w:tcPr>
            <w:tcW w:w="1242" w:type="dxa"/>
            <w:vAlign w:val="center"/>
          </w:tcPr>
          <w:p>
            <w:pPr>
              <w:jc w:val="center"/>
              <w:rPr>
                <w:b/>
                <w:color w:val="auto"/>
                <w:szCs w:val="21"/>
                <w:highlight w:val="none"/>
              </w:rPr>
            </w:pPr>
            <w:r>
              <w:rPr>
                <w:b/>
                <w:color w:val="auto"/>
                <w:szCs w:val="21"/>
                <w:highlight w:val="none"/>
              </w:rPr>
              <w:t>制造商</w:t>
            </w:r>
          </w:p>
        </w:tc>
        <w:tc>
          <w:tcPr>
            <w:tcW w:w="1242" w:type="dxa"/>
            <w:vAlign w:val="center"/>
          </w:tcPr>
          <w:p>
            <w:pPr>
              <w:jc w:val="center"/>
              <w:rPr>
                <w:b/>
                <w:color w:val="auto"/>
                <w:szCs w:val="21"/>
                <w:highlight w:val="none"/>
              </w:rPr>
            </w:pPr>
            <w:r>
              <w:rPr>
                <w:b/>
                <w:color w:val="auto"/>
                <w:szCs w:val="21"/>
                <w:highlight w:val="none"/>
              </w:rPr>
              <w:t>原产地</w:t>
            </w:r>
          </w:p>
        </w:tc>
        <w:tc>
          <w:tcPr>
            <w:tcW w:w="934" w:type="dxa"/>
            <w:vAlign w:val="center"/>
          </w:tcPr>
          <w:p>
            <w:pPr>
              <w:jc w:val="center"/>
              <w:rPr>
                <w:b/>
                <w:color w:val="auto"/>
                <w:szCs w:val="21"/>
                <w:highlight w:val="none"/>
              </w:rPr>
            </w:pPr>
            <w:r>
              <w:rPr>
                <w:b/>
                <w:color w:val="auto"/>
                <w:szCs w:val="21"/>
                <w:highlight w:val="none"/>
              </w:rPr>
              <w:t>数量</w:t>
            </w:r>
          </w:p>
        </w:tc>
        <w:tc>
          <w:tcPr>
            <w:tcW w:w="934" w:type="dxa"/>
            <w:vAlign w:val="center"/>
          </w:tcPr>
          <w:p>
            <w:pPr>
              <w:jc w:val="center"/>
              <w:rPr>
                <w:b/>
                <w:color w:val="auto"/>
                <w:szCs w:val="21"/>
                <w:highlight w:val="none"/>
              </w:rPr>
            </w:pPr>
            <w:r>
              <w:rPr>
                <w:b/>
                <w:color w:val="auto"/>
                <w:szCs w:val="21"/>
                <w:highlight w:val="none"/>
              </w:rPr>
              <w:t>单价</w:t>
            </w:r>
          </w:p>
        </w:tc>
        <w:tc>
          <w:tcPr>
            <w:tcW w:w="934" w:type="dxa"/>
            <w:vAlign w:val="center"/>
          </w:tcPr>
          <w:p>
            <w:pPr>
              <w:jc w:val="center"/>
              <w:rPr>
                <w:b/>
                <w:color w:val="auto"/>
                <w:szCs w:val="21"/>
                <w:highlight w:val="none"/>
              </w:rPr>
            </w:pPr>
            <w:r>
              <w:rPr>
                <w:b/>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1</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2</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3</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4</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5</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6</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7</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8</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r>
              <w:rPr>
                <w:color w:val="auto"/>
                <w:szCs w:val="21"/>
                <w:highlight w:val="none"/>
              </w:rPr>
              <w:t>/</w:t>
            </w: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9</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tcPr>
          <w:p>
            <w:pPr>
              <w:jc w:val="center"/>
              <w:rPr>
                <w:color w:val="auto"/>
                <w:szCs w:val="21"/>
                <w:highlight w:val="none"/>
              </w:rPr>
            </w:pPr>
          </w:p>
        </w:tc>
        <w:tc>
          <w:tcPr>
            <w:tcW w:w="934" w:type="dxa"/>
            <w:vAlign w:val="center"/>
          </w:tcPr>
          <w:p>
            <w:pPr>
              <w:jc w:val="center"/>
              <w:rPr>
                <w:color w:val="auto"/>
                <w:szCs w:val="21"/>
                <w:highlight w:val="none"/>
              </w:rPr>
            </w:pPr>
            <w:r>
              <w:rPr>
                <w:color w:val="auto"/>
                <w:szCs w:val="21"/>
                <w:highlight w:val="none"/>
              </w:rPr>
              <w:t>/</w:t>
            </w: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10</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r>
              <w:rPr>
                <w:color w:val="auto"/>
                <w:szCs w:val="21"/>
                <w:highlight w:val="none"/>
              </w:rPr>
              <w:t>/</w:t>
            </w: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11</w:t>
            </w:r>
          </w:p>
        </w:tc>
        <w:tc>
          <w:tcPr>
            <w:tcW w:w="934" w:type="dxa"/>
            <w:vAlign w:val="center"/>
          </w:tcPr>
          <w:p>
            <w:pPr>
              <w:jc w:val="center"/>
              <w:rPr>
                <w:color w:val="auto"/>
                <w:szCs w:val="21"/>
                <w:highlight w:val="none"/>
              </w:rPr>
            </w:pPr>
            <w:r>
              <w:rPr>
                <w:color w:val="auto"/>
                <w:szCs w:val="21"/>
                <w:highlight w:val="none"/>
              </w:rPr>
              <w:t>……</w:t>
            </w: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r>
              <w:rPr>
                <w:color w:val="auto"/>
                <w:szCs w:val="21"/>
                <w:highlight w:val="none"/>
              </w:rPr>
              <w:t>/</w:t>
            </w: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12</w:t>
            </w:r>
          </w:p>
        </w:tc>
        <w:tc>
          <w:tcPr>
            <w:tcW w:w="934" w:type="dxa"/>
            <w:vAlign w:val="center"/>
          </w:tcPr>
          <w:p>
            <w:pPr>
              <w:jc w:val="center"/>
              <w:rPr>
                <w:color w:val="auto"/>
                <w:szCs w:val="21"/>
                <w:highlight w:val="none"/>
              </w:rPr>
            </w:pPr>
            <w:r>
              <w:rPr>
                <w:color w:val="auto"/>
                <w:szCs w:val="21"/>
                <w:highlight w:val="none"/>
              </w:rPr>
              <w:t>总计</w:t>
            </w:r>
          </w:p>
        </w:tc>
        <w:tc>
          <w:tcPr>
            <w:tcW w:w="7760" w:type="dxa"/>
            <w:gridSpan w:val="6"/>
            <w:vAlign w:val="center"/>
          </w:tcPr>
          <w:p>
            <w:pPr>
              <w:rPr>
                <w:color w:val="auto"/>
                <w:szCs w:val="21"/>
                <w:highlight w:val="none"/>
              </w:rPr>
            </w:pPr>
          </w:p>
        </w:tc>
      </w:tr>
    </w:tbl>
    <w:p>
      <w:pPr>
        <w:pStyle w:val="22"/>
        <w:spacing w:line="440" w:lineRule="exact"/>
        <w:rPr>
          <w:rFonts w:ascii="Times New Roman" w:hAnsi="Times New Roman"/>
          <w:color w:val="auto"/>
          <w:sz w:val="21"/>
          <w:szCs w:val="21"/>
          <w:highlight w:val="none"/>
        </w:rPr>
      </w:pPr>
    </w:p>
    <w:p>
      <w:pPr>
        <w:adjustRightInd w:val="0"/>
        <w:snapToGrid w:val="0"/>
        <w:spacing w:line="440" w:lineRule="exact"/>
        <w:rPr>
          <w:color w:val="auto"/>
          <w:szCs w:val="21"/>
          <w:highlight w:val="none"/>
        </w:rPr>
      </w:pPr>
      <w:r>
        <w:rPr>
          <w:color w:val="auto"/>
          <w:szCs w:val="21"/>
          <w:highlight w:val="none"/>
        </w:rPr>
        <w:t>法定代表人（或法定代表人授权代表）或自然人（签署或盖章）：</w:t>
      </w:r>
    </w:p>
    <w:p>
      <w:pPr>
        <w:adjustRightInd w:val="0"/>
        <w:snapToGrid w:val="0"/>
        <w:spacing w:line="440" w:lineRule="exact"/>
        <w:rPr>
          <w:color w:val="auto"/>
          <w:szCs w:val="21"/>
          <w:highlight w:val="none"/>
        </w:rPr>
      </w:pPr>
      <w:r>
        <w:rPr>
          <w:color w:val="auto"/>
          <w:szCs w:val="21"/>
          <w:highlight w:val="none"/>
        </w:rPr>
        <w:t>地址：</w:t>
      </w:r>
    </w:p>
    <w:p>
      <w:pPr>
        <w:adjustRightInd w:val="0"/>
        <w:snapToGrid w:val="0"/>
        <w:spacing w:line="440" w:lineRule="exact"/>
        <w:rPr>
          <w:color w:val="auto"/>
          <w:szCs w:val="21"/>
          <w:highlight w:val="none"/>
        </w:rPr>
      </w:pPr>
      <w:r>
        <w:rPr>
          <w:color w:val="auto"/>
          <w:szCs w:val="21"/>
          <w:highlight w:val="none"/>
        </w:rPr>
        <w:t>电话：</w:t>
      </w:r>
    </w:p>
    <w:p>
      <w:pPr>
        <w:adjustRightInd w:val="0"/>
        <w:snapToGrid w:val="0"/>
        <w:spacing w:line="440" w:lineRule="exact"/>
        <w:rPr>
          <w:color w:val="auto"/>
          <w:szCs w:val="21"/>
          <w:highlight w:val="none"/>
        </w:rPr>
      </w:pPr>
      <w:r>
        <w:rPr>
          <w:color w:val="auto"/>
          <w:szCs w:val="21"/>
          <w:highlight w:val="none"/>
        </w:rPr>
        <w:t xml:space="preserve">传真：                                                                                                                                                                                                                                                                                                                                                                                                                                                                                                                                                                                                                                                                                                                                                                                                                                                                                                                                                                                                                                                                                                                                                                                                                                                                                                                                                                                                                                                                                                                                                                                                                                                                                                                                                                                                                                                                                                                                                                                                                                                                </w:t>
      </w:r>
    </w:p>
    <w:p>
      <w:pPr>
        <w:adjustRightInd w:val="0"/>
        <w:snapToGrid w:val="0"/>
        <w:spacing w:line="440" w:lineRule="exact"/>
        <w:rPr>
          <w:color w:val="auto"/>
          <w:szCs w:val="21"/>
          <w:highlight w:val="none"/>
        </w:rPr>
      </w:pPr>
      <w:r>
        <w:rPr>
          <w:color w:val="auto"/>
          <w:szCs w:val="21"/>
          <w:highlight w:val="none"/>
        </w:rPr>
        <w:t>日期： 年  月  日</w:t>
      </w:r>
    </w:p>
    <w:p>
      <w:pPr>
        <w:adjustRightInd w:val="0"/>
        <w:snapToGrid w:val="0"/>
        <w:spacing w:line="440" w:lineRule="exact"/>
        <w:rPr>
          <w:color w:val="auto"/>
          <w:szCs w:val="21"/>
          <w:highlight w:val="none"/>
        </w:rPr>
      </w:pPr>
    </w:p>
    <w:p>
      <w:pPr>
        <w:adjustRightInd w:val="0"/>
        <w:snapToGrid w:val="0"/>
        <w:spacing w:line="440" w:lineRule="exact"/>
        <w:rPr>
          <w:color w:val="auto"/>
          <w:szCs w:val="21"/>
          <w:highlight w:val="none"/>
        </w:rPr>
      </w:pPr>
      <w:r>
        <w:rPr>
          <w:color w:val="auto"/>
          <w:szCs w:val="21"/>
          <w:highlight w:val="none"/>
        </w:rPr>
        <w:t>注：</w:t>
      </w:r>
    </w:p>
    <w:p>
      <w:pPr>
        <w:snapToGrid w:val="0"/>
        <w:spacing w:line="480" w:lineRule="exact"/>
        <w:ind w:firstLine="420" w:firstLineChars="200"/>
        <w:rPr>
          <w:color w:val="auto"/>
          <w:szCs w:val="21"/>
          <w:highlight w:val="none"/>
        </w:rPr>
      </w:pPr>
      <w:r>
        <w:rPr>
          <w:color w:val="auto"/>
          <w:szCs w:val="21"/>
          <w:highlight w:val="none"/>
        </w:rPr>
        <w:t>1．请供应商完整填写本表；</w:t>
      </w:r>
    </w:p>
    <w:p>
      <w:pPr>
        <w:spacing w:line="480" w:lineRule="exact"/>
        <w:ind w:firstLine="420" w:firstLineChars="200"/>
        <w:rPr>
          <w:color w:val="auto"/>
          <w:szCs w:val="21"/>
          <w:highlight w:val="none"/>
        </w:rPr>
      </w:pPr>
      <w:r>
        <w:rPr>
          <w:color w:val="auto"/>
          <w:szCs w:val="21"/>
          <w:highlight w:val="none"/>
        </w:rPr>
        <w:t>2．该表可扩展。</w:t>
      </w:r>
    </w:p>
    <w:p>
      <w:pPr>
        <w:adjustRightInd w:val="0"/>
        <w:snapToGrid w:val="0"/>
        <w:spacing w:line="440" w:lineRule="exact"/>
        <w:rPr>
          <w:color w:val="auto"/>
          <w:szCs w:val="21"/>
          <w:highlight w:val="none"/>
        </w:rPr>
      </w:pPr>
    </w:p>
    <w:p>
      <w:pPr>
        <w:adjustRightInd w:val="0"/>
        <w:snapToGrid w:val="0"/>
        <w:spacing w:line="440" w:lineRule="exact"/>
        <w:rPr>
          <w:color w:val="auto"/>
          <w:szCs w:val="21"/>
          <w:highlight w:val="none"/>
        </w:rPr>
      </w:pPr>
    </w:p>
    <w:p>
      <w:pPr>
        <w:pStyle w:val="18"/>
        <w:rPr>
          <w:color w:val="auto"/>
          <w:highlight w:val="none"/>
        </w:rPr>
      </w:pPr>
    </w:p>
    <w:p>
      <w:pPr>
        <w:pStyle w:val="3"/>
        <w:rPr>
          <w:rFonts w:ascii="Times New Roman" w:hAnsi="Times New Roman" w:eastAsia="宋体"/>
          <w:color w:val="auto"/>
          <w:sz w:val="32"/>
          <w:highlight w:val="none"/>
        </w:rPr>
      </w:pPr>
      <w:bookmarkStart w:id="70" w:name="_Toc10213456"/>
      <w:r>
        <w:rPr>
          <w:rFonts w:ascii="Times New Roman" w:hAnsi="Times New Roman" w:eastAsia="宋体"/>
          <w:color w:val="auto"/>
          <w:sz w:val="32"/>
          <w:highlight w:val="none"/>
        </w:rPr>
        <w:t>三、评比供应商基本情况表</w:t>
      </w:r>
      <w:bookmarkEnd w:id="69"/>
      <w:bookmarkEnd w:id="70"/>
    </w:p>
    <w:tbl>
      <w:tblPr>
        <w:tblStyle w:val="39"/>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048"/>
        <w:gridCol w:w="705"/>
        <w:gridCol w:w="1753"/>
        <w:gridCol w:w="1753"/>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单位名称</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地址、邮编、电话</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主要业务范围</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单位性质</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成立时间</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56" w:type="dxa"/>
            <w:gridSpan w:val="6"/>
            <w:vAlign w:val="center"/>
          </w:tcPr>
          <w:p>
            <w:pPr>
              <w:adjustRightInd w:val="0"/>
              <w:snapToGrid w:val="0"/>
              <w:spacing w:line="360" w:lineRule="auto"/>
              <w:jc w:val="center"/>
              <w:rPr>
                <w:color w:val="auto"/>
                <w:szCs w:val="21"/>
                <w:highlight w:val="none"/>
              </w:rPr>
            </w:pPr>
            <w:r>
              <w:rPr>
                <w:color w:val="auto"/>
                <w:szCs w:val="21"/>
                <w:highlight w:val="none"/>
              </w:rPr>
              <w:t>单 位人 员 职 称 构 成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4" w:type="dxa"/>
            <w:vAlign w:val="center"/>
          </w:tcPr>
          <w:p>
            <w:pPr>
              <w:adjustRightInd w:val="0"/>
              <w:snapToGrid w:val="0"/>
              <w:spacing w:line="360" w:lineRule="auto"/>
              <w:jc w:val="center"/>
              <w:rPr>
                <w:color w:val="auto"/>
                <w:szCs w:val="21"/>
                <w:highlight w:val="none"/>
              </w:rPr>
            </w:pPr>
            <w:r>
              <w:rPr>
                <w:color w:val="auto"/>
                <w:szCs w:val="21"/>
                <w:highlight w:val="none"/>
              </w:rPr>
              <w:t>人员总数</w:t>
            </w:r>
          </w:p>
        </w:tc>
        <w:tc>
          <w:tcPr>
            <w:tcW w:w="1753" w:type="dxa"/>
            <w:gridSpan w:val="2"/>
            <w:vAlign w:val="center"/>
          </w:tcPr>
          <w:p>
            <w:pPr>
              <w:adjustRightInd w:val="0"/>
              <w:snapToGrid w:val="0"/>
              <w:spacing w:line="360" w:lineRule="auto"/>
              <w:jc w:val="center"/>
              <w:rPr>
                <w:color w:val="auto"/>
                <w:szCs w:val="21"/>
                <w:highlight w:val="none"/>
              </w:rPr>
            </w:pPr>
            <w:r>
              <w:rPr>
                <w:color w:val="auto"/>
                <w:szCs w:val="21"/>
                <w:highlight w:val="none"/>
              </w:rPr>
              <w:t>高级职称</w:t>
            </w:r>
          </w:p>
        </w:tc>
        <w:tc>
          <w:tcPr>
            <w:tcW w:w="1753" w:type="dxa"/>
            <w:vAlign w:val="center"/>
          </w:tcPr>
          <w:p>
            <w:pPr>
              <w:adjustRightInd w:val="0"/>
              <w:snapToGrid w:val="0"/>
              <w:spacing w:line="360" w:lineRule="auto"/>
              <w:jc w:val="center"/>
              <w:rPr>
                <w:color w:val="auto"/>
                <w:szCs w:val="21"/>
                <w:highlight w:val="none"/>
              </w:rPr>
            </w:pPr>
            <w:r>
              <w:rPr>
                <w:color w:val="auto"/>
                <w:szCs w:val="21"/>
                <w:highlight w:val="none"/>
              </w:rPr>
              <w:t>中级职称</w:t>
            </w:r>
          </w:p>
        </w:tc>
        <w:tc>
          <w:tcPr>
            <w:tcW w:w="1753" w:type="dxa"/>
            <w:vAlign w:val="center"/>
          </w:tcPr>
          <w:p>
            <w:pPr>
              <w:adjustRightInd w:val="0"/>
              <w:snapToGrid w:val="0"/>
              <w:spacing w:line="360" w:lineRule="auto"/>
              <w:jc w:val="center"/>
              <w:rPr>
                <w:color w:val="auto"/>
                <w:szCs w:val="21"/>
                <w:highlight w:val="none"/>
              </w:rPr>
            </w:pPr>
            <w:r>
              <w:rPr>
                <w:color w:val="auto"/>
                <w:szCs w:val="21"/>
                <w:highlight w:val="none"/>
              </w:rPr>
              <w:t>初级职称</w:t>
            </w:r>
          </w:p>
        </w:tc>
        <w:tc>
          <w:tcPr>
            <w:tcW w:w="1753" w:type="dxa"/>
            <w:vAlign w:val="center"/>
          </w:tcPr>
          <w:p>
            <w:pPr>
              <w:adjustRightInd w:val="0"/>
              <w:snapToGrid w:val="0"/>
              <w:spacing w:line="360" w:lineRule="auto"/>
              <w:jc w:val="center"/>
              <w:rPr>
                <w:color w:val="auto"/>
                <w:szCs w:val="21"/>
                <w:highlight w:val="none"/>
              </w:rPr>
            </w:pPr>
            <w:r>
              <w:rPr>
                <w:color w:val="auto"/>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44" w:type="dxa"/>
            <w:vAlign w:val="center"/>
          </w:tcPr>
          <w:p>
            <w:pPr>
              <w:adjustRightInd w:val="0"/>
              <w:snapToGrid w:val="0"/>
              <w:spacing w:line="360" w:lineRule="auto"/>
              <w:jc w:val="center"/>
              <w:rPr>
                <w:color w:val="auto"/>
                <w:szCs w:val="21"/>
                <w:highlight w:val="none"/>
              </w:rPr>
            </w:pPr>
          </w:p>
        </w:tc>
        <w:tc>
          <w:tcPr>
            <w:tcW w:w="1753" w:type="dxa"/>
            <w:gridSpan w:val="2"/>
            <w:vAlign w:val="center"/>
          </w:tcPr>
          <w:p>
            <w:pPr>
              <w:adjustRightInd w:val="0"/>
              <w:snapToGrid w:val="0"/>
              <w:spacing w:line="360" w:lineRule="auto"/>
              <w:jc w:val="center"/>
              <w:rPr>
                <w:color w:val="auto"/>
                <w:szCs w:val="21"/>
                <w:highlight w:val="none"/>
              </w:rPr>
            </w:pPr>
          </w:p>
        </w:tc>
        <w:tc>
          <w:tcPr>
            <w:tcW w:w="1753" w:type="dxa"/>
            <w:vAlign w:val="center"/>
          </w:tcPr>
          <w:p>
            <w:pPr>
              <w:adjustRightInd w:val="0"/>
              <w:snapToGrid w:val="0"/>
              <w:spacing w:line="360" w:lineRule="auto"/>
              <w:jc w:val="center"/>
              <w:rPr>
                <w:color w:val="auto"/>
                <w:szCs w:val="21"/>
                <w:highlight w:val="none"/>
              </w:rPr>
            </w:pPr>
          </w:p>
        </w:tc>
        <w:tc>
          <w:tcPr>
            <w:tcW w:w="1753" w:type="dxa"/>
            <w:vAlign w:val="center"/>
          </w:tcPr>
          <w:p>
            <w:pPr>
              <w:adjustRightInd w:val="0"/>
              <w:snapToGrid w:val="0"/>
              <w:spacing w:line="360" w:lineRule="auto"/>
              <w:jc w:val="center"/>
              <w:rPr>
                <w:color w:val="auto"/>
                <w:szCs w:val="21"/>
                <w:highlight w:val="none"/>
              </w:rPr>
            </w:pPr>
          </w:p>
        </w:tc>
        <w:tc>
          <w:tcPr>
            <w:tcW w:w="1753" w:type="dxa"/>
            <w:vAlign w:val="center"/>
          </w:tcPr>
          <w:p>
            <w:pPr>
              <w:adjustRightInd w:val="0"/>
              <w:snapToGrid w:val="0"/>
              <w:spacing w:line="360" w:lineRule="auto"/>
              <w:jc w:val="center"/>
              <w:rPr>
                <w:color w:val="auto"/>
                <w:szCs w:val="21"/>
                <w:highlight w:val="none"/>
              </w:rPr>
            </w:pPr>
          </w:p>
        </w:tc>
      </w:tr>
    </w:tbl>
    <w:p>
      <w:pPr>
        <w:adjustRightInd w:val="0"/>
        <w:snapToGrid w:val="0"/>
        <w:spacing w:line="360" w:lineRule="auto"/>
        <w:rPr>
          <w:color w:val="auto"/>
          <w:szCs w:val="21"/>
          <w:highlight w:val="none"/>
        </w:rPr>
      </w:pPr>
    </w:p>
    <w:p>
      <w:pPr>
        <w:adjustRightInd w:val="0"/>
        <w:snapToGrid w:val="0"/>
        <w:spacing w:line="360" w:lineRule="auto"/>
        <w:rPr>
          <w:color w:val="auto"/>
          <w:szCs w:val="21"/>
          <w:highlight w:val="none"/>
        </w:rPr>
      </w:pPr>
    </w:p>
    <w:p>
      <w:pPr>
        <w:adjustRightInd w:val="0"/>
        <w:snapToGrid w:val="0"/>
        <w:spacing w:line="360" w:lineRule="auto"/>
        <w:rPr>
          <w:color w:val="auto"/>
          <w:szCs w:val="21"/>
          <w:highlight w:val="none"/>
          <w:u w:val="single"/>
        </w:rPr>
      </w:pPr>
      <w:r>
        <w:rPr>
          <w:color w:val="auto"/>
          <w:szCs w:val="21"/>
          <w:highlight w:val="none"/>
        </w:rPr>
        <w:t>评比供应商：</w:t>
      </w:r>
      <w:r>
        <w:rPr>
          <w:color w:val="auto"/>
          <w:szCs w:val="21"/>
          <w:highlight w:val="none"/>
          <w:u w:val="single"/>
        </w:rPr>
        <w:t xml:space="preserve">     （公章）        </w:t>
      </w:r>
    </w:p>
    <w:p>
      <w:pPr>
        <w:adjustRightInd w:val="0"/>
        <w:snapToGrid w:val="0"/>
        <w:spacing w:line="440" w:lineRule="exact"/>
        <w:rPr>
          <w:color w:val="auto"/>
          <w:szCs w:val="21"/>
          <w:highlight w:val="none"/>
        </w:rPr>
      </w:pPr>
      <w:r>
        <w:rPr>
          <w:color w:val="auto"/>
          <w:szCs w:val="21"/>
          <w:highlight w:val="none"/>
        </w:rPr>
        <w:t>法定代表人（或法定代表人授权代表）或自然人:</w:t>
      </w:r>
      <w:r>
        <w:rPr>
          <w:color w:val="auto"/>
          <w:szCs w:val="21"/>
          <w:highlight w:val="none"/>
          <w:u w:val="single"/>
        </w:rPr>
        <w:t>（签署或盖章）</w:t>
      </w:r>
    </w:p>
    <w:p>
      <w:pPr>
        <w:adjustRightInd w:val="0"/>
        <w:snapToGrid w:val="0"/>
        <w:spacing w:line="360" w:lineRule="auto"/>
        <w:rPr>
          <w:color w:val="auto"/>
          <w:szCs w:val="21"/>
          <w:highlight w:val="none"/>
        </w:rPr>
      </w:pPr>
      <w:r>
        <w:rPr>
          <w:color w:val="auto"/>
          <w:szCs w:val="21"/>
          <w:highlight w:val="none"/>
        </w:rPr>
        <w:t>日期： 年 月 日</w:t>
      </w:r>
    </w:p>
    <w:p>
      <w:pPr>
        <w:pStyle w:val="3"/>
        <w:rPr>
          <w:rFonts w:ascii="Times New Roman" w:hAnsi="Times New Roman" w:eastAsia="宋体"/>
          <w:color w:val="auto"/>
          <w:sz w:val="32"/>
          <w:highlight w:val="none"/>
        </w:rPr>
      </w:pPr>
      <w:r>
        <w:rPr>
          <w:rFonts w:ascii="Times New Roman" w:hAnsi="Times New Roman" w:eastAsia="宋体"/>
          <w:color w:val="auto"/>
          <w:sz w:val="32"/>
          <w:highlight w:val="none"/>
        </w:rPr>
        <w:br w:type="page"/>
      </w:r>
      <w:bookmarkStart w:id="71" w:name="_Toc68963489"/>
      <w:bookmarkStart w:id="72" w:name="_Toc10213457"/>
      <w:r>
        <w:rPr>
          <w:rFonts w:ascii="Times New Roman" w:hAnsi="Times New Roman" w:eastAsia="宋体"/>
          <w:color w:val="auto"/>
          <w:sz w:val="32"/>
          <w:highlight w:val="none"/>
        </w:rPr>
        <w:t>四、交货人员构成</w:t>
      </w:r>
      <w:bookmarkEnd w:id="71"/>
      <w:bookmarkEnd w:id="72"/>
    </w:p>
    <w:p>
      <w:pPr>
        <w:adjustRightInd w:val="0"/>
        <w:snapToGrid w:val="0"/>
        <w:spacing w:line="360" w:lineRule="auto"/>
        <w:rPr>
          <w:color w:val="auto"/>
          <w:sz w:val="24"/>
          <w:szCs w:val="21"/>
          <w:highlight w:val="none"/>
        </w:rPr>
      </w:pPr>
    </w:p>
    <w:tbl>
      <w:tblPr>
        <w:tblStyle w:val="3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936"/>
        <w:gridCol w:w="936"/>
        <w:gridCol w:w="1873"/>
        <w:gridCol w:w="1069"/>
        <w:gridCol w:w="120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528" w:type="dxa"/>
            <w:gridSpan w:val="7"/>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计划用于本项目的主要参与人员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姓名</w:t>
            </w: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年龄</w:t>
            </w: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职务</w:t>
            </w: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职称</w:t>
            </w: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专业</w:t>
            </w:r>
          </w:p>
        </w:tc>
        <w:tc>
          <w:tcPr>
            <w:tcW w:w="120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学历</w:t>
            </w: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bl>
    <w:p>
      <w:pPr>
        <w:pStyle w:val="22"/>
        <w:adjustRightInd w:val="0"/>
        <w:snapToGrid w:val="0"/>
        <w:spacing w:line="440" w:lineRule="exact"/>
        <w:rPr>
          <w:rFonts w:ascii="Times New Roman" w:hAnsi="Times New Roman"/>
          <w:b/>
          <w:color w:val="auto"/>
          <w:sz w:val="21"/>
          <w:szCs w:val="21"/>
          <w:highlight w:val="none"/>
        </w:rPr>
      </w:pPr>
    </w:p>
    <w:p>
      <w:pPr>
        <w:adjustRightInd w:val="0"/>
        <w:snapToGrid w:val="0"/>
        <w:spacing w:line="440" w:lineRule="exact"/>
        <w:jc w:val="center"/>
        <w:rPr>
          <w:b/>
          <w:color w:val="auto"/>
          <w:spacing w:val="40"/>
          <w:szCs w:val="21"/>
          <w:highlight w:val="none"/>
        </w:rPr>
      </w:pPr>
    </w:p>
    <w:p>
      <w:pPr>
        <w:adjustRightInd w:val="0"/>
        <w:snapToGrid w:val="0"/>
        <w:spacing w:line="440" w:lineRule="exact"/>
        <w:rPr>
          <w:color w:val="auto"/>
          <w:szCs w:val="21"/>
          <w:highlight w:val="none"/>
          <w:u w:val="single"/>
        </w:rPr>
      </w:pPr>
      <w:r>
        <w:rPr>
          <w:color w:val="auto"/>
          <w:szCs w:val="21"/>
          <w:highlight w:val="none"/>
        </w:rPr>
        <w:t>评比供应商：</w:t>
      </w:r>
      <w:r>
        <w:rPr>
          <w:color w:val="auto"/>
          <w:szCs w:val="21"/>
          <w:highlight w:val="none"/>
          <w:u w:val="single"/>
        </w:rPr>
        <w:t xml:space="preserve">     （公章）        </w:t>
      </w:r>
    </w:p>
    <w:p>
      <w:pPr>
        <w:adjustRightInd w:val="0"/>
        <w:snapToGrid w:val="0"/>
        <w:spacing w:line="440" w:lineRule="exact"/>
        <w:rPr>
          <w:color w:val="auto"/>
          <w:szCs w:val="21"/>
          <w:highlight w:val="none"/>
          <w:u w:val="single"/>
        </w:rPr>
      </w:pPr>
      <w:r>
        <w:rPr>
          <w:color w:val="auto"/>
          <w:szCs w:val="21"/>
          <w:highlight w:val="none"/>
        </w:rPr>
        <w:t>法定代表人（或法定代表人授权代表）或自然人：</w:t>
      </w:r>
      <w:r>
        <w:rPr>
          <w:color w:val="auto"/>
          <w:szCs w:val="21"/>
          <w:highlight w:val="none"/>
          <w:u w:val="single"/>
        </w:rPr>
        <w:t xml:space="preserve">      （签署或盖章）      </w:t>
      </w:r>
    </w:p>
    <w:p>
      <w:pPr>
        <w:adjustRightInd w:val="0"/>
        <w:snapToGrid w:val="0"/>
        <w:spacing w:line="440" w:lineRule="exact"/>
        <w:rPr>
          <w:color w:val="auto"/>
          <w:szCs w:val="21"/>
          <w:highlight w:val="none"/>
        </w:rPr>
      </w:pPr>
      <w:r>
        <w:rPr>
          <w:color w:val="auto"/>
          <w:szCs w:val="21"/>
          <w:highlight w:val="none"/>
        </w:rPr>
        <w:t>日期：年月日</w:t>
      </w:r>
    </w:p>
    <w:p>
      <w:pPr>
        <w:adjustRightInd w:val="0"/>
        <w:snapToGrid w:val="0"/>
        <w:spacing w:line="360" w:lineRule="auto"/>
        <w:rPr>
          <w:b/>
          <w:color w:val="auto"/>
          <w:spacing w:val="40"/>
          <w:sz w:val="24"/>
          <w:szCs w:val="21"/>
          <w:highlight w:val="none"/>
        </w:rPr>
      </w:pPr>
      <w:bookmarkStart w:id="73" w:name="_Toc330205884"/>
    </w:p>
    <w:p>
      <w:pPr>
        <w:adjustRightInd w:val="0"/>
        <w:snapToGrid w:val="0"/>
        <w:spacing w:line="360" w:lineRule="auto"/>
        <w:rPr>
          <w:b/>
          <w:color w:val="auto"/>
          <w:spacing w:val="40"/>
          <w:sz w:val="24"/>
          <w:szCs w:val="21"/>
          <w:highlight w:val="none"/>
        </w:rPr>
      </w:pPr>
      <w:r>
        <w:rPr>
          <w:b/>
          <w:color w:val="auto"/>
          <w:spacing w:val="40"/>
          <w:sz w:val="24"/>
          <w:szCs w:val="21"/>
          <w:highlight w:val="none"/>
        </w:rPr>
        <w:br w:type="page"/>
      </w:r>
    </w:p>
    <w:bookmarkEnd w:id="73"/>
    <w:p>
      <w:pPr>
        <w:pStyle w:val="3"/>
        <w:rPr>
          <w:rFonts w:ascii="Times New Roman" w:hAnsi="Times New Roman" w:eastAsia="宋体"/>
          <w:color w:val="auto"/>
          <w:sz w:val="32"/>
          <w:highlight w:val="none"/>
        </w:rPr>
      </w:pPr>
      <w:bookmarkStart w:id="74" w:name="_Toc10213460"/>
      <w:r>
        <w:rPr>
          <w:rFonts w:ascii="Times New Roman" w:hAnsi="Times New Roman" w:eastAsia="宋体"/>
          <w:color w:val="auto"/>
          <w:sz w:val="32"/>
          <w:highlight w:val="none"/>
        </w:rPr>
        <w:t>五、资质证明文件</w:t>
      </w:r>
      <w:bookmarkEnd w:id="74"/>
    </w:p>
    <w:p>
      <w:pPr>
        <w:rPr>
          <w:color w:val="auto"/>
          <w:highlight w:val="none"/>
        </w:rPr>
      </w:pPr>
    </w:p>
    <w:p>
      <w:pPr>
        <w:rPr>
          <w:color w:val="auto"/>
          <w:highlight w:val="none"/>
        </w:rPr>
      </w:pPr>
    </w:p>
    <w:p>
      <w:pPr>
        <w:numPr>
          <w:ilvl w:val="0"/>
          <w:numId w:val="22"/>
        </w:numPr>
        <w:tabs>
          <w:tab w:val="left" w:pos="5580"/>
        </w:tabs>
        <w:adjustRightInd w:val="0"/>
        <w:snapToGrid w:val="0"/>
        <w:spacing w:line="480" w:lineRule="exact"/>
        <w:rPr>
          <w:color w:val="auto"/>
          <w:szCs w:val="21"/>
          <w:highlight w:val="none"/>
        </w:rPr>
      </w:pPr>
      <w:r>
        <w:rPr>
          <w:color w:val="auto"/>
          <w:szCs w:val="21"/>
          <w:highlight w:val="none"/>
        </w:rPr>
        <w:t>营业执照（副本）或事业单位法人证书（副本）或个体工商户营业执照或有效的自然人身份证明或社会团体法人登记证书（提供复印件）</w:t>
      </w:r>
    </w:p>
    <w:p>
      <w:pPr>
        <w:pStyle w:val="11"/>
        <w:ind w:firstLine="0" w:firstLineChars="0"/>
        <w:rPr>
          <w:color w:val="auto"/>
          <w:highlight w:val="none"/>
        </w:rPr>
      </w:pPr>
    </w:p>
    <w:p>
      <w:pPr>
        <w:pStyle w:val="11"/>
        <w:ind w:firstLine="0" w:firstLineChars="0"/>
        <w:rPr>
          <w:color w:val="auto"/>
          <w:highlight w:val="none"/>
        </w:rPr>
      </w:pPr>
    </w:p>
    <w:p>
      <w:pPr>
        <w:pStyle w:val="11"/>
        <w:ind w:firstLine="0" w:firstLineChars="0"/>
        <w:rPr>
          <w:color w:val="auto"/>
          <w:highlight w:val="none"/>
        </w:rPr>
      </w:pPr>
    </w:p>
    <w:p>
      <w:pPr>
        <w:ind w:firstLine="0" w:firstLineChars="0"/>
        <w:rPr>
          <w:color w:val="auto"/>
          <w:highlight w:val="none"/>
        </w:rPr>
      </w:pPr>
      <w:r>
        <w:rPr>
          <w:color w:val="auto"/>
          <w:highlight w:val="none"/>
        </w:rPr>
        <w:br w:type="page"/>
      </w:r>
    </w:p>
    <w:p>
      <w:pPr>
        <w:pStyle w:val="11"/>
        <w:ind w:firstLine="0" w:firstLineChars="0"/>
        <w:rPr>
          <w:color w:val="auto"/>
          <w:highlight w:val="none"/>
        </w:rPr>
      </w:pPr>
    </w:p>
    <w:p>
      <w:pPr>
        <w:numPr>
          <w:ilvl w:val="0"/>
          <w:numId w:val="22"/>
        </w:numPr>
        <w:tabs>
          <w:tab w:val="left" w:pos="5580"/>
        </w:tabs>
        <w:adjustRightInd w:val="0"/>
        <w:snapToGrid w:val="0"/>
        <w:spacing w:line="480" w:lineRule="exact"/>
        <w:jc w:val="both"/>
        <w:rPr>
          <w:color w:val="auto"/>
          <w:szCs w:val="21"/>
          <w:highlight w:val="none"/>
        </w:rPr>
      </w:pPr>
      <w:r>
        <w:rPr>
          <w:color w:val="auto"/>
          <w:szCs w:val="21"/>
          <w:highlight w:val="none"/>
        </w:rPr>
        <w:t>法定代表人身份证明书（格式）</w:t>
      </w:r>
    </w:p>
    <w:p>
      <w:pPr>
        <w:pStyle w:val="11"/>
        <w:ind w:firstLine="2730" w:firstLineChars="1300"/>
        <w:rPr>
          <w:color w:val="auto"/>
          <w:szCs w:val="21"/>
          <w:highlight w:val="none"/>
        </w:rPr>
      </w:pPr>
      <w:r>
        <w:rPr>
          <w:color w:val="auto"/>
          <w:szCs w:val="21"/>
          <w:highlight w:val="none"/>
        </w:rPr>
        <w:t>法定代表人身份证明书</w:t>
      </w:r>
    </w:p>
    <w:p>
      <w:pPr>
        <w:pStyle w:val="11"/>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项目名称：</w:t>
      </w:r>
      <w:r>
        <w:rPr>
          <w:color w:val="auto"/>
          <w:szCs w:val="21"/>
          <w:highlight w:val="none"/>
          <w:u w:val="single"/>
        </w:rPr>
        <w:t xml:space="preserve">                                                </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（采购代理机构名称）：</w:t>
      </w:r>
    </w:p>
    <w:p>
      <w:pPr>
        <w:tabs>
          <w:tab w:val="left" w:pos="6300"/>
        </w:tabs>
        <w:snapToGrid w:val="0"/>
        <w:spacing w:line="500" w:lineRule="exact"/>
        <w:ind w:firstLine="570"/>
        <w:rPr>
          <w:color w:val="auto"/>
          <w:szCs w:val="21"/>
          <w:highlight w:val="none"/>
        </w:rPr>
      </w:pPr>
      <w:r>
        <w:rPr>
          <w:color w:val="auto"/>
          <w:szCs w:val="21"/>
          <w:highlight w:val="none"/>
          <w:u w:val="single"/>
        </w:rPr>
        <w:t xml:space="preserve">         </w:t>
      </w:r>
      <w:r>
        <w:rPr>
          <w:color w:val="auto"/>
          <w:szCs w:val="21"/>
          <w:highlight w:val="none"/>
        </w:rPr>
        <w:t>（法定代表人姓名）在</w:t>
      </w:r>
      <w:r>
        <w:rPr>
          <w:color w:val="auto"/>
          <w:szCs w:val="21"/>
          <w:highlight w:val="none"/>
          <w:u w:val="single"/>
        </w:rPr>
        <w:t xml:space="preserve">                       </w:t>
      </w:r>
      <w:r>
        <w:rPr>
          <w:color w:val="auto"/>
          <w:szCs w:val="21"/>
          <w:highlight w:val="none"/>
        </w:rPr>
        <w:t>（供应商名称）任</w:t>
      </w:r>
      <w:r>
        <w:rPr>
          <w:color w:val="auto"/>
          <w:szCs w:val="21"/>
          <w:highlight w:val="none"/>
          <w:u w:val="single"/>
        </w:rPr>
        <w:t xml:space="preserve">      </w:t>
      </w:r>
      <w:r>
        <w:rPr>
          <w:color w:val="auto"/>
          <w:szCs w:val="21"/>
          <w:highlight w:val="none"/>
        </w:rPr>
        <w:t>（职务名称）职务，是（供应商名称）</w:t>
      </w:r>
      <w:r>
        <w:rPr>
          <w:color w:val="auto"/>
          <w:szCs w:val="21"/>
          <w:highlight w:val="none"/>
          <w:u w:val="single"/>
        </w:rPr>
        <w:t xml:space="preserve">              </w:t>
      </w:r>
      <w:r>
        <w:rPr>
          <w:color w:val="auto"/>
          <w:szCs w:val="21"/>
          <w:highlight w:val="none"/>
        </w:rPr>
        <w:t>的法定代表人。</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特此证明。</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 xml:space="preserve">                                             （供应商公章）</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 xml:space="preserve">                                             年   月   日</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法定代表人电话：XXXXXXX      电子邮箱：XXXXXX@XXXXX（若授权他人办理并签署响应文件的可不填写）</w:t>
      </w:r>
    </w:p>
    <w:p>
      <w:pPr>
        <w:tabs>
          <w:tab w:val="left" w:pos="6300"/>
        </w:tabs>
        <w:snapToGrid w:val="0"/>
        <w:spacing w:line="500" w:lineRule="exact"/>
        <w:ind w:firstLine="570"/>
        <w:rPr>
          <w:color w:val="auto"/>
          <w:szCs w:val="21"/>
          <w:highlight w:val="none"/>
        </w:rPr>
      </w:pPr>
      <w:r>
        <w:rPr>
          <w:color w:val="auto"/>
          <w:szCs w:val="21"/>
          <w:highlight w:val="none"/>
        </w:rPr>
        <w:t>（附：法定代表人身份证正反面复印件）</w:t>
      </w: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numPr>
          <w:ilvl w:val="0"/>
          <w:numId w:val="22"/>
        </w:numPr>
        <w:tabs>
          <w:tab w:val="left" w:pos="6300"/>
        </w:tabs>
        <w:snapToGrid w:val="0"/>
        <w:spacing w:line="500" w:lineRule="exact"/>
        <w:rPr>
          <w:color w:val="auto"/>
          <w:szCs w:val="21"/>
          <w:highlight w:val="none"/>
        </w:rPr>
      </w:pPr>
      <w:r>
        <w:rPr>
          <w:color w:val="auto"/>
          <w:szCs w:val="21"/>
          <w:highlight w:val="none"/>
        </w:rPr>
        <w:t>法定代表人授权委托书（格式）</w:t>
      </w:r>
    </w:p>
    <w:p>
      <w:pPr>
        <w:tabs>
          <w:tab w:val="left" w:pos="6300"/>
        </w:tabs>
        <w:snapToGrid w:val="0"/>
        <w:spacing w:line="500" w:lineRule="exact"/>
        <w:ind w:firstLine="3927" w:firstLineChars="1870"/>
        <w:rPr>
          <w:color w:val="auto"/>
          <w:szCs w:val="21"/>
          <w:highlight w:val="none"/>
        </w:rPr>
      </w:pPr>
      <w:r>
        <w:rPr>
          <w:color w:val="auto"/>
          <w:szCs w:val="21"/>
          <w:highlight w:val="none"/>
        </w:rPr>
        <w:t>法定代表人授权委托书</w:t>
      </w:r>
    </w:p>
    <w:p>
      <w:pPr>
        <w:tabs>
          <w:tab w:val="left" w:pos="6300"/>
        </w:tabs>
        <w:snapToGrid w:val="0"/>
        <w:spacing w:line="500" w:lineRule="exact"/>
        <w:ind w:firstLine="570"/>
        <w:rPr>
          <w:color w:val="auto"/>
          <w:szCs w:val="21"/>
          <w:highlight w:val="none"/>
        </w:rPr>
      </w:pPr>
      <w:r>
        <w:rPr>
          <w:color w:val="auto"/>
          <w:szCs w:val="21"/>
          <w:highlight w:val="none"/>
        </w:rPr>
        <w:t xml:space="preserve">    </w:t>
      </w:r>
    </w:p>
    <w:p>
      <w:pPr>
        <w:tabs>
          <w:tab w:val="left" w:pos="6300"/>
        </w:tabs>
        <w:snapToGrid w:val="0"/>
        <w:spacing w:line="500" w:lineRule="exact"/>
        <w:ind w:firstLine="420" w:firstLineChars="200"/>
        <w:rPr>
          <w:color w:val="auto"/>
          <w:szCs w:val="21"/>
          <w:highlight w:val="none"/>
        </w:rPr>
      </w:pPr>
      <w:r>
        <w:rPr>
          <w:color w:val="auto"/>
          <w:szCs w:val="21"/>
          <w:highlight w:val="none"/>
        </w:rPr>
        <w:t>项目名称：</w:t>
      </w:r>
      <w:r>
        <w:rPr>
          <w:color w:val="auto"/>
          <w:szCs w:val="21"/>
          <w:highlight w:val="none"/>
          <w:u w:val="single"/>
        </w:rPr>
        <w:t xml:space="preserve">                                                </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420" w:firstLineChars="200"/>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（采购代理机构名称）：</w:t>
      </w:r>
    </w:p>
    <w:p>
      <w:pPr>
        <w:tabs>
          <w:tab w:val="left" w:pos="6300"/>
        </w:tabs>
        <w:snapToGrid w:val="0"/>
        <w:spacing w:line="50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（供应商法定代表人名称）是</w:t>
      </w:r>
      <w:r>
        <w:rPr>
          <w:color w:val="auto"/>
          <w:szCs w:val="21"/>
          <w:highlight w:val="none"/>
          <w:u w:val="single"/>
        </w:rPr>
        <w:t xml:space="preserve">                    </w:t>
      </w:r>
      <w:r>
        <w:rPr>
          <w:color w:val="auto"/>
          <w:szCs w:val="21"/>
          <w:highlight w:val="none"/>
        </w:rPr>
        <w:t>（供应商名称）的法定代表人，特授权</w:t>
      </w:r>
      <w:r>
        <w:rPr>
          <w:color w:val="auto"/>
          <w:szCs w:val="21"/>
          <w:highlight w:val="none"/>
          <w:u w:val="single"/>
        </w:rPr>
        <w:t xml:space="preserve">          </w:t>
      </w:r>
      <w:r>
        <w:rPr>
          <w:color w:val="auto"/>
          <w:szCs w:val="21"/>
          <w:highlight w:val="none"/>
        </w:rPr>
        <w:t>（被授权人姓名及身份证代码）代表我单位全权办理上述项目的评比、谈判、签约等具体工作，并签署全部有关文件、协议及合同。</w:t>
      </w:r>
    </w:p>
    <w:p>
      <w:pPr>
        <w:tabs>
          <w:tab w:val="left" w:pos="6300"/>
        </w:tabs>
        <w:snapToGrid w:val="0"/>
        <w:spacing w:line="500" w:lineRule="exact"/>
        <w:ind w:firstLine="420" w:firstLineChars="200"/>
        <w:rPr>
          <w:color w:val="auto"/>
          <w:szCs w:val="21"/>
          <w:highlight w:val="none"/>
        </w:rPr>
      </w:pPr>
      <w:r>
        <w:rPr>
          <w:color w:val="auto"/>
          <w:szCs w:val="21"/>
          <w:highlight w:val="none"/>
        </w:rPr>
        <w:t>我单位对被授权人的签字负全部责任。</w:t>
      </w:r>
    </w:p>
    <w:p>
      <w:pPr>
        <w:tabs>
          <w:tab w:val="left" w:pos="6300"/>
        </w:tabs>
        <w:snapToGrid w:val="0"/>
        <w:spacing w:line="500" w:lineRule="exact"/>
        <w:ind w:firstLine="420" w:firstLineChars="200"/>
        <w:rPr>
          <w:color w:val="auto"/>
          <w:szCs w:val="21"/>
          <w:highlight w:val="none"/>
        </w:rPr>
      </w:pPr>
      <w:r>
        <w:rPr>
          <w:color w:val="auto"/>
          <w:szCs w:val="21"/>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被授权人：                                 供应商法定代表人：</w:t>
      </w:r>
    </w:p>
    <w:p>
      <w:pPr>
        <w:tabs>
          <w:tab w:val="left" w:pos="6300"/>
        </w:tabs>
        <w:snapToGrid w:val="0"/>
        <w:spacing w:line="500" w:lineRule="exact"/>
        <w:ind w:firstLine="570"/>
        <w:rPr>
          <w:color w:val="auto"/>
          <w:szCs w:val="21"/>
          <w:highlight w:val="none"/>
        </w:rPr>
      </w:pPr>
      <w:r>
        <w:rPr>
          <w:color w:val="auto"/>
          <w:szCs w:val="21"/>
          <w:highlight w:val="none"/>
        </w:rPr>
        <w:t>（签署或盖章）                                （签署或盖章）</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（附：被授权人身份证正反面复印件）</w:t>
      </w:r>
    </w:p>
    <w:p>
      <w:pPr>
        <w:tabs>
          <w:tab w:val="left" w:pos="6300"/>
        </w:tabs>
        <w:snapToGrid w:val="0"/>
        <w:spacing w:line="500" w:lineRule="exact"/>
        <w:ind w:firstLine="570"/>
        <w:rPr>
          <w:color w:val="auto"/>
          <w:szCs w:val="21"/>
          <w:highlight w:val="none"/>
        </w:rPr>
      </w:pPr>
      <w:r>
        <w:rPr>
          <w:color w:val="auto"/>
          <w:szCs w:val="21"/>
          <w:highlight w:val="none"/>
        </w:rPr>
        <w:t xml:space="preserve">                                          </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right="480" w:firstLine="570"/>
        <w:jc w:val="right"/>
        <w:rPr>
          <w:color w:val="auto"/>
          <w:szCs w:val="21"/>
          <w:highlight w:val="none"/>
        </w:rPr>
      </w:pPr>
      <w:r>
        <w:rPr>
          <w:color w:val="auto"/>
          <w:szCs w:val="21"/>
          <w:highlight w:val="none"/>
        </w:rPr>
        <w:t>（供应商公章）</w:t>
      </w:r>
    </w:p>
    <w:p>
      <w:pPr>
        <w:tabs>
          <w:tab w:val="left" w:pos="6300"/>
        </w:tabs>
        <w:snapToGrid w:val="0"/>
        <w:spacing w:line="500" w:lineRule="exact"/>
        <w:ind w:right="480" w:firstLine="570"/>
        <w:jc w:val="right"/>
        <w:rPr>
          <w:color w:val="auto"/>
          <w:szCs w:val="21"/>
          <w:highlight w:val="none"/>
        </w:rPr>
      </w:pPr>
      <w:r>
        <w:rPr>
          <w:color w:val="auto"/>
          <w:szCs w:val="21"/>
          <w:highlight w:val="none"/>
        </w:rPr>
        <w:t>年   月   日</w:t>
      </w:r>
    </w:p>
    <w:p>
      <w:pPr>
        <w:tabs>
          <w:tab w:val="left" w:pos="6300"/>
        </w:tabs>
        <w:snapToGrid w:val="0"/>
        <w:spacing w:line="500" w:lineRule="exact"/>
        <w:ind w:right="480" w:firstLine="570"/>
        <w:jc w:val="right"/>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被授权人电话：XXXXXXX     电子邮箱：XXXXXX@XXXXX（若法定代表人办理并签署评比文件的可不填写）</w:t>
      </w:r>
    </w:p>
    <w:p>
      <w:pPr>
        <w:tabs>
          <w:tab w:val="left" w:pos="6300"/>
        </w:tabs>
        <w:snapToGrid w:val="0"/>
        <w:spacing w:line="500" w:lineRule="exact"/>
        <w:ind w:right="480" w:firstLine="570"/>
        <w:rPr>
          <w:color w:val="auto"/>
          <w:szCs w:val="21"/>
          <w:highlight w:val="none"/>
        </w:rPr>
      </w:pPr>
      <w:r>
        <w:rPr>
          <w:color w:val="auto"/>
          <w:szCs w:val="21"/>
          <w:highlight w:val="none"/>
        </w:rPr>
        <w:t>注：1.若为法定代表人办理并签署响应文件的，不提供此文件。</w:t>
      </w: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基本资格条件承诺函（格式）</w:t>
      </w:r>
    </w:p>
    <w:p>
      <w:pPr>
        <w:tabs>
          <w:tab w:val="left" w:pos="6300"/>
        </w:tabs>
        <w:snapToGrid w:val="0"/>
        <w:spacing w:line="500" w:lineRule="exact"/>
        <w:ind w:right="480" w:firstLine="570"/>
        <w:jc w:val="center"/>
        <w:rPr>
          <w:rFonts w:hint="eastAsia" w:ascii="宋体" w:hAnsi="宋体" w:eastAsia="宋体" w:cs="宋体"/>
          <w:color w:val="auto"/>
          <w:sz w:val="21"/>
          <w:szCs w:val="21"/>
          <w:highlight w:val="none"/>
        </w:rPr>
      </w:pPr>
    </w:p>
    <w:p>
      <w:pPr>
        <w:tabs>
          <w:tab w:val="left" w:pos="6300"/>
        </w:tabs>
        <w:snapToGrid w:val="0"/>
        <w:spacing w:line="500" w:lineRule="exact"/>
        <w:ind w:right="480" w:firstLine="57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基本资格条件承诺函</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致 </w:t>
      </w:r>
      <w:r>
        <w:rPr>
          <w:rFonts w:hint="eastAsia" w:ascii="宋体" w:hAnsi="宋体" w:eastAsia="宋体" w:cs="宋体"/>
          <w:color w:val="auto"/>
          <w:sz w:val="21"/>
          <w:szCs w:val="21"/>
          <w:highlight w:val="none"/>
          <w:u w:val="single"/>
        </w:rPr>
        <w:t xml:space="preserve">                  （采购代理机构名称）</w:t>
      </w:r>
      <w:r>
        <w:rPr>
          <w:rFonts w:hint="eastAsia" w:ascii="宋体" w:hAnsi="宋体" w:eastAsia="宋体" w:cs="宋体"/>
          <w:color w:val="auto"/>
          <w:sz w:val="21"/>
          <w:szCs w:val="21"/>
          <w:highlight w:val="none"/>
        </w:rPr>
        <w:t>：</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（投标人名称）郑重承诺</w:t>
      </w:r>
      <w:r>
        <w:rPr>
          <w:rFonts w:hint="eastAsia" w:ascii="宋体" w:hAnsi="宋体" w:eastAsia="宋体" w:cs="宋体"/>
          <w:color w:val="auto"/>
          <w:sz w:val="21"/>
          <w:szCs w:val="21"/>
          <w:highlight w:val="none"/>
        </w:rPr>
        <w:t>：</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w:t>
      </w:r>
      <w:r>
        <w:rPr>
          <w:rFonts w:hint="eastAsia" w:ascii="宋体" w:hAnsi="宋体" w:eastAsia="宋体" w:cs="宋体"/>
          <w:color w:val="auto"/>
          <w:sz w:val="21"/>
          <w:szCs w:val="21"/>
          <w:highlight w:val="none"/>
          <w:lang w:val="zh-CN"/>
        </w:rPr>
        <w:t>有依法缴纳税收和社会保障金的良好记录</w:t>
      </w:r>
      <w:r>
        <w:rPr>
          <w:rFonts w:hint="eastAsia" w:ascii="宋体" w:hAnsi="宋体" w:eastAsia="宋体" w:cs="宋体"/>
          <w:color w:val="auto"/>
          <w:sz w:val="21"/>
          <w:szCs w:val="21"/>
          <w:highlight w:val="none"/>
        </w:rPr>
        <w:t>，参加本项目采购活动前三年内无重大违法活动记录。</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p>
    <w:p>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22"/>
        <w:tabs>
          <w:tab w:val="left" w:pos="5580"/>
        </w:tabs>
        <w:adjustRightInd w:val="0"/>
        <w:snapToGrid w:val="0"/>
        <w:spacing w:line="480" w:lineRule="exact"/>
        <w:rPr>
          <w:rFonts w:ascii="Times New Roman" w:hAnsi="Times New Roman"/>
          <w:color w:val="auto"/>
          <w:sz w:val="21"/>
          <w:szCs w:val="21"/>
          <w:highlight w:val="none"/>
        </w:rPr>
      </w:pPr>
    </w:p>
    <w:p>
      <w:pPr>
        <w:rPr>
          <w:b/>
          <w:color w:val="auto"/>
          <w:sz w:val="24"/>
          <w:szCs w:val="21"/>
          <w:highlight w:val="none"/>
        </w:rPr>
      </w:pPr>
      <w:r>
        <w:rPr>
          <w:color w:val="auto"/>
          <w:szCs w:val="21"/>
          <w:highlight w:val="none"/>
        </w:rPr>
        <w:br w:type="page"/>
      </w:r>
    </w:p>
    <w:p>
      <w:pPr>
        <w:tabs>
          <w:tab w:val="left" w:pos="6300"/>
        </w:tabs>
        <w:snapToGrid w:val="0"/>
        <w:spacing w:line="500" w:lineRule="exact"/>
        <w:rPr>
          <w:color w:val="auto"/>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ascii="Times New Roman" w:hAnsi="Times New Roman"/>
          <w:color w:val="auto"/>
          <w:sz w:val="21"/>
          <w:szCs w:val="21"/>
          <w:highlight w:val="none"/>
        </w:rPr>
        <w:t>评比文件要求的其他资格证明文件</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若有</w:t>
      </w:r>
      <w:r>
        <w:rPr>
          <w:rFonts w:hint="eastAsia" w:ascii="Times New Roman" w:hAnsi="Times New Roman"/>
          <w:color w:val="auto"/>
          <w:sz w:val="21"/>
          <w:szCs w:val="21"/>
          <w:highlight w:val="none"/>
          <w:lang w:eastAsia="zh-CN"/>
        </w:rPr>
        <w:t>）</w:t>
      </w:r>
    </w:p>
    <w:p>
      <w:pPr>
        <w:tabs>
          <w:tab w:val="left" w:pos="6300"/>
        </w:tabs>
        <w:snapToGrid w:val="0"/>
        <w:spacing w:line="300" w:lineRule="exact"/>
        <w:ind w:firstLine="570"/>
        <w:rPr>
          <w:color w:val="auto"/>
          <w:szCs w:val="21"/>
          <w:highlight w:val="none"/>
        </w:rPr>
      </w:pPr>
    </w:p>
    <w:p>
      <w:pPr>
        <w:ind w:firstLine="0" w:firstLineChars="0"/>
        <w:rPr>
          <w:color w:val="auto"/>
          <w:szCs w:val="21"/>
          <w:highlight w:val="none"/>
        </w:rPr>
      </w:pPr>
      <w:r>
        <w:rPr>
          <w:color w:val="auto"/>
          <w:szCs w:val="21"/>
          <w:highlight w:val="none"/>
        </w:rPr>
        <w:br w:type="page"/>
      </w:r>
    </w:p>
    <w:p>
      <w:pPr>
        <w:ind w:firstLine="2940" w:firstLineChars="1400"/>
        <w:rPr>
          <w:bCs/>
          <w:color w:val="auto"/>
          <w:szCs w:val="21"/>
          <w:highlight w:val="none"/>
        </w:rPr>
      </w:pPr>
      <w:r>
        <w:rPr>
          <w:bCs/>
          <w:color w:val="auto"/>
          <w:szCs w:val="21"/>
          <w:highlight w:val="none"/>
        </w:rPr>
        <w:t>相关单位一览表</w:t>
      </w:r>
    </w:p>
    <w:p>
      <w:pPr>
        <w:ind w:firstLine="2940" w:firstLineChars="1400"/>
        <w:rPr>
          <w:bCs/>
          <w:color w:val="auto"/>
          <w:szCs w:val="21"/>
          <w:highlight w:val="none"/>
        </w:rPr>
      </w:pPr>
    </w:p>
    <w:p>
      <w:pPr>
        <w:ind w:firstLine="420" w:firstLineChars="200"/>
        <w:rPr>
          <w:bCs/>
          <w:color w:val="auto"/>
          <w:szCs w:val="21"/>
          <w:highlight w:val="none"/>
        </w:rPr>
      </w:pPr>
      <w:r>
        <w:rPr>
          <w:bCs/>
          <w:color w:val="auto"/>
          <w:szCs w:val="21"/>
          <w:highlight w:val="none"/>
        </w:rPr>
        <w:t>供应商应如实列出和本单位负责人为同一人或者存在直接控股、管理关系的单位名单并加盖公章</w:t>
      </w:r>
      <w:r>
        <w:rPr>
          <w:color w:val="auto"/>
          <w:szCs w:val="21"/>
          <w:highlight w:val="none"/>
        </w:rPr>
        <w:t>。</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96" w:type="dxa"/>
            <w:gridSpan w:val="2"/>
            <w:vAlign w:val="center"/>
          </w:tcPr>
          <w:p>
            <w:pPr>
              <w:jc w:val="center"/>
              <w:rPr>
                <w:color w:val="auto"/>
                <w:szCs w:val="21"/>
                <w:highlight w:val="none"/>
              </w:rPr>
            </w:pPr>
            <w:r>
              <w:rPr>
                <w:color w:val="auto"/>
                <w:szCs w:val="21"/>
                <w:highlight w:val="none"/>
              </w:rPr>
              <w:t>与</w:t>
            </w:r>
            <w:r>
              <w:rPr>
                <w:bCs/>
                <w:color w:val="auto"/>
                <w:szCs w:val="21"/>
                <w:highlight w:val="none"/>
              </w:rPr>
              <w:t>供应商</w:t>
            </w:r>
            <w:r>
              <w:rPr>
                <w:color w:val="auto"/>
                <w:szCs w:val="21"/>
                <w:highlight w:val="none"/>
              </w:rPr>
              <w:t>的负责人为同一人的其他单位名称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1</w:t>
            </w:r>
          </w:p>
        </w:tc>
        <w:tc>
          <w:tcPr>
            <w:tcW w:w="6924" w:type="dxa"/>
            <w:vAlign w:val="center"/>
          </w:tcPr>
          <w:p>
            <w:pPr>
              <w:jc w:val="center"/>
              <w:rPr>
                <w:color w:val="auto"/>
                <w:szCs w:val="21"/>
                <w:highlight w:val="none"/>
              </w:rPr>
            </w:pPr>
            <w:r>
              <w:rPr>
                <w:color w:val="auto"/>
                <w:szCs w:val="21"/>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2</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3</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b/>
                <w:color w:val="auto"/>
                <w:szCs w:val="21"/>
                <w:highlight w:val="none"/>
              </w:rPr>
            </w:pPr>
            <w:r>
              <w:rPr>
                <w:b/>
                <w:color w:val="auto"/>
                <w:szCs w:val="21"/>
                <w:highlight w:val="none"/>
              </w:rPr>
              <w:t>…</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96" w:type="dxa"/>
            <w:gridSpan w:val="2"/>
            <w:vAlign w:val="center"/>
          </w:tcPr>
          <w:p>
            <w:pPr>
              <w:jc w:val="center"/>
              <w:rPr>
                <w:color w:val="auto"/>
                <w:szCs w:val="21"/>
                <w:highlight w:val="none"/>
              </w:rPr>
            </w:pPr>
            <w:r>
              <w:rPr>
                <w:color w:val="auto"/>
                <w:szCs w:val="21"/>
                <w:highlight w:val="none"/>
              </w:rPr>
              <w:t>与</w:t>
            </w:r>
            <w:r>
              <w:rPr>
                <w:bCs/>
                <w:color w:val="auto"/>
                <w:szCs w:val="21"/>
                <w:highlight w:val="none"/>
              </w:rPr>
              <w:t>供应商</w:t>
            </w:r>
            <w:r>
              <w:rPr>
                <w:color w:val="auto"/>
                <w:szCs w:val="21"/>
                <w:highlight w:val="none"/>
              </w:rPr>
              <w:t>存在直接控股、管理关系的其他单位名称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1</w:t>
            </w:r>
          </w:p>
        </w:tc>
        <w:tc>
          <w:tcPr>
            <w:tcW w:w="6924" w:type="dxa"/>
            <w:vAlign w:val="center"/>
          </w:tcPr>
          <w:p>
            <w:pPr>
              <w:jc w:val="center"/>
              <w:rPr>
                <w:color w:val="auto"/>
                <w:szCs w:val="21"/>
                <w:highlight w:val="none"/>
              </w:rPr>
            </w:pPr>
            <w:r>
              <w:rPr>
                <w:color w:val="auto"/>
                <w:szCs w:val="21"/>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2</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3</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b/>
                <w:color w:val="auto"/>
                <w:szCs w:val="21"/>
                <w:highlight w:val="none"/>
              </w:rPr>
            </w:pPr>
            <w:r>
              <w:rPr>
                <w:b/>
                <w:color w:val="auto"/>
                <w:szCs w:val="21"/>
                <w:highlight w:val="none"/>
              </w:rPr>
              <w:t>…</w:t>
            </w:r>
          </w:p>
        </w:tc>
        <w:tc>
          <w:tcPr>
            <w:tcW w:w="6924" w:type="dxa"/>
            <w:vAlign w:val="center"/>
          </w:tcPr>
          <w:p>
            <w:pPr>
              <w:jc w:val="center"/>
              <w:rPr>
                <w:b/>
                <w:color w:val="auto"/>
                <w:szCs w:val="21"/>
                <w:highlight w:val="none"/>
              </w:rPr>
            </w:pPr>
            <w:r>
              <w:rPr>
                <w:b/>
                <w:color w:val="auto"/>
                <w:szCs w:val="21"/>
                <w:highlight w:val="none"/>
              </w:rPr>
              <w:t>……</w:t>
            </w:r>
          </w:p>
        </w:tc>
      </w:tr>
    </w:tbl>
    <w:p>
      <w:pPr>
        <w:snapToGrid w:val="0"/>
        <w:spacing w:line="402" w:lineRule="atLeast"/>
        <w:rPr>
          <w:color w:val="auto"/>
          <w:szCs w:val="21"/>
          <w:highlight w:val="none"/>
          <w:lang w:val="zh-CN"/>
        </w:rPr>
      </w:pPr>
      <w:r>
        <w:rPr>
          <w:bCs/>
          <w:color w:val="auto"/>
          <w:szCs w:val="21"/>
          <w:highlight w:val="none"/>
        </w:rPr>
        <w:t>供应商</w:t>
      </w:r>
      <w:r>
        <w:rPr>
          <w:color w:val="auto"/>
          <w:szCs w:val="21"/>
          <w:highlight w:val="none"/>
          <w:lang w:val="zh-CN"/>
        </w:rPr>
        <w:t>授权代表（签字）</w:t>
      </w:r>
      <w:r>
        <w:rPr>
          <w:color w:val="auto"/>
          <w:szCs w:val="21"/>
          <w:highlight w:val="none"/>
          <w:u w:val="single"/>
          <w:lang w:val="zh-CN"/>
        </w:rPr>
        <w:t xml:space="preserve">              </w:t>
      </w:r>
      <w:r>
        <w:rPr>
          <w:color w:val="auto"/>
          <w:szCs w:val="21"/>
          <w:highlight w:val="none"/>
          <w:lang w:val="zh-CN"/>
        </w:rPr>
        <w:t xml:space="preserve">          </w:t>
      </w:r>
    </w:p>
    <w:p>
      <w:pPr>
        <w:rPr>
          <w:b/>
          <w:bCs/>
          <w:color w:val="auto"/>
          <w:szCs w:val="21"/>
          <w:highlight w:val="none"/>
        </w:rPr>
      </w:pPr>
      <w:r>
        <w:rPr>
          <w:color w:val="auto"/>
          <w:szCs w:val="21"/>
          <w:highlight w:val="none"/>
        </w:rPr>
        <w:t>投标人公章</w:t>
      </w:r>
      <w:r>
        <w:rPr>
          <w:color w:val="auto"/>
          <w:szCs w:val="21"/>
          <w:highlight w:val="none"/>
          <w:u w:val="single"/>
        </w:rPr>
        <w:t>　　　　　　　　　       　</w:t>
      </w:r>
    </w:p>
    <w:p>
      <w:pPr>
        <w:rPr>
          <w:color w:val="auto"/>
          <w:szCs w:val="21"/>
          <w:highlight w:val="none"/>
        </w:rPr>
      </w:pPr>
    </w:p>
    <w:p>
      <w:pPr>
        <w:spacing w:line="360" w:lineRule="auto"/>
        <w:rPr>
          <w:color w:val="auto"/>
          <w:szCs w:val="21"/>
          <w:highlight w:val="none"/>
        </w:rPr>
      </w:pPr>
      <w:r>
        <w:rPr>
          <w:color w:val="auto"/>
          <w:szCs w:val="21"/>
          <w:highlight w:val="none"/>
        </w:rPr>
        <w:t>注：（1）如</w:t>
      </w:r>
      <w:r>
        <w:rPr>
          <w:bCs/>
          <w:color w:val="auto"/>
          <w:szCs w:val="21"/>
          <w:highlight w:val="none"/>
        </w:rPr>
        <w:t>供应商</w:t>
      </w:r>
      <w:r>
        <w:rPr>
          <w:color w:val="auto"/>
          <w:szCs w:val="21"/>
          <w:highlight w:val="none"/>
        </w:rPr>
        <w:t>没有表中列示的相关单位，请填写“无”。</w:t>
      </w:r>
    </w:p>
    <w:p>
      <w:pPr>
        <w:spacing w:line="360" w:lineRule="auto"/>
        <w:ind w:firstLine="420" w:firstLineChars="200"/>
        <w:rPr>
          <w:color w:val="auto"/>
          <w:szCs w:val="21"/>
          <w:highlight w:val="none"/>
        </w:rPr>
      </w:pPr>
      <w:r>
        <w:rPr>
          <w:color w:val="auto"/>
          <w:szCs w:val="21"/>
          <w:highlight w:val="none"/>
        </w:rPr>
        <w:t>（2）单位负责人是指单位法定代表人或者法律、行政法规规定代表单位行使职权的主要负责人。</w:t>
      </w:r>
    </w:p>
    <w:p>
      <w:pPr>
        <w:spacing w:line="360" w:lineRule="auto"/>
        <w:ind w:firstLine="420" w:firstLineChars="200"/>
        <w:rPr>
          <w:color w:val="auto"/>
          <w:szCs w:val="21"/>
          <w:highlight w:val="none"/>
        </w:rPr>
      </w:pPr>
      <w:r>
        <w:rPr>
          <w:color w:val="auto"/>
          <w:szCs w:val="21"/>
          <w:highlight w:val="none"/>
        </w:rPr>
        <w:t>（3）控股关系是指单位或个人股东的控股关系，管理关系是指不具有出资持股关系的其他单位之间存在的管理与被管理关系。</w:t>
      </w:r>
    </w:p>
    <w:p>
      <w:pPr>
        <w:ind w:firstLine="480"/>
        <w:rPr>
          <w:color w:val="auto"/>
          <w:szCs w:val="21"/>
          <w:highlight w:val="none"/>
        </w:rPr>
      </w:pPr>
    </w:p>
    <w:p>
      <w:pPr>
        <w:adjustRightInd w:val="0"/>
        <w:snapToGrid w:val="0"/>
        <w:spacing w:line="360" w:lineRule="auto"/>
        <w:rPr>
          <w:color w:val="auto"/>
          <w:szCs w:val="21"/>
          <w:highlight w:val="none"/>
        </w:rPr>
      </w:pPr>
    </w:p>
    <w:p>
      <w:pPr>
        <w:adjustRightInd w:val="0"/>
        <w:snapToGrid w:val="0"/>
        <w:spacing w:line="360" w:lineRule="auto"/>
        <w:rPr>
          <w:color w:val="auto"/>
          <w:sz w:val="24"/>
          <w:szCs w:val="21"/>
          <w:highlight w:val="none"/>
        </w:rPr>
      </w:pPr>
      <w:r>
        <w:rPr>
          <w:color w:val="auto"/>
          <w:szCs w:val="21"/>
          <w:highlight w:val="none"/>
        </w:rPr>
        <w:br w:type="page"/>
      </w:r>
    </w:p>
    <w:p>
      <w:pPr>
        <w:pStyle w:val="3"/>
        <w:rPr>
          <w:rFonts w:ascii="Times New Roman" w:hAnsi="Times New Roman" w:eastAsia="宋体"/>
          <w:color w:val="auto"/>
          <w:sz w:val="32"/>
          <w:highlight w:val="none"/>
        </w:rPr>
      </w:pPr>
      <w:r>
        <w:rPr>
          <w:rFonts w:ascii="Times New Roman" w:hAnsi="Times New Roman" w:eastAsia="宋体"/>
          <w:color w:val="auto"/>
          <w:sz w:val="32"/>
          <w:highlight w:val="none"/>
        </w:rPr>
        <w:t>六、技术响应偏离表</w:t>
      </w:r>
    </w:p>
    <w:p>
      <w:pPr>
        <w:rPr>
          <w:color w:val="auto"/>
          <w:sz w:val="24"/>
          <w:szCs w:val="21"/>
          <w:highlight w:val="none"/>
        </w:rPr>
      </w:pPr>
    </w:p>
    <w:p>
      <w:pPr>
        <w:pStyle w:val="90"/>
        <w:rPr>
          <w:rFonts w:ascii="Times New Roman"/>
          <w:color w:val="auto"/>
          <w:highlight w:val="none"/>
        </w:rPr>
      </w:pPr>
      <w:r>
        <w:rPr>
          <w:rFonts w:ascii="Times New Roman"/>
          <w:color w:val="auto"/>
          <w:highlight w:val="none"/>
        </w:rPr>
        <w:t>项目名称：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序号</w:t>
            </w: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文件要求</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响应应答</w:t>
            </w: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bl>
    <w:p>
      <w:pPr>
        <w:spacing w:line="500" w:lineRule="exact"/>
        <w:ind w:firstLine="525" w:firstLineChars="250"/>
        <w:rPr>
          <w:color w:val="auto"/>
          <w:szCs w:val="21"/>
          <w:highlight w:val="none"/>
        </w:rPr>
      </w:pPr>
      <w:r>
        <w:rPr>
          <w:color w:val="auto"/>
          <w:szCs w:val="21"/>
          <w:highlight w:val="none"/>
        </w:rPr>
        <w:t>供应商：                                法定代表人（或法定代表人授权代表）或自然人：</w:t>
      </w:r>
    </w:p>
    <w:p>
      <w:pPr>
        <w:spacing w:line="500" w:lineRule="exact"/>
        <w:rPr>
          <w:color w:val="auto"/>
          <w:szCs w:val="21"/>
          <w:highlight w:val="none"/>
        </w:rPr>
      </w:pPr>
      <w:r>
        <w:rPr>
          <w:color w:val="auto"/>
          <w:szCs w:val="21"/>
          <w:highlight w:val="none"/>
        </w:rPr>
        <w:t xml:space="preserve">    </w:t>
      </w:r>
    </w:p>
    <w:p>
      <w:pPr>
        <w:spacing w:line="500" w:lineRule="exact"/>
        <w:ind w:firstLine="630" w:firstLineChars="300"/>
        <w:rPr>
          <w:color w:val="auto"/>
          <w:szCs w:val="21"/>
          <w:highlight w:val="none"/>
        </w:rPr>
      </w:pPr>
      <w:r>
        <w:rPr>
          <w:color w:val="auto"/>
          <w:szCs w:val="21"/>
          <w:highlight w:val="none"/>
        </w:rPr>
        <w:t>（供应商公章）                               （签署或盖章）</w:t>
      </w:r>
    </w:p>
    <w:p>
      <w:pPr>
        <w:tabs>
          <w:tab w:val="left" w:pos="6300"/>
        </w:tabs>
        <w:snapToGrid w:val="0"/>
        <w:spacing w:line="500" w:lineRule="exact"/>
        <w:ind w:firstLine="570"/>
        <w:rPr>
          <w:color w:val="auto"/>
          <w:szCs w:val="21"/>
          <w:highlight w:val="none"/>
        </w:rPr>
      </w:pPr>
      <w:r>
        <w:rPr>
          <w:color w:val="auto"/>
          <w:szCs w:val="21"/>
          <w:highlight w:val="none"/>
        </w:rPr>
        <w:t xml:space="preserve">                                            年     月     日</w:t>
      </w:r>
    </w:p>
    <w:p>
      <w:pPr>
        <w:tabs>
          <w:tab w:val="left" w:pos="6300"/>
        </w:tabs>
        <w:snapToGrid w:val="0"/>
        <w:spacing w:line="500" w:lineRule="exact"/>
        <w:ind w:firstLine="570"/>
        <w:rPr>
          <w:color w:val="auto"/>
          <w:szCs w:val="21"/>
          <w:highlight w:val="none"/>
        </w:rPr>
      </w:pPr>
      <w:r>
        <w:rPr>
          <w:color w:val="auto"/>
          <w:szCs w:val="21"/>
          <w:highlight w:val="none"/>
        </w:rPr>
        <w:t>注：</w:t>
      </w:r>
    </w:p>
    <w:p>
      <w:pPr>
        <w:tabs>
          <w:tab w:val="left" w:pos="6300"/>
        </w:tabs>
        <w:spacing w:line="500" w:lineRule="exact"/>
        <w:ind w:firstLine="420" w:firstLineChars="200"/>
        <w:rPr>
          <w:b/>
          <w:color w:val="auto"/>
          <w:szCs w:val="21"/>
          <w:highlight w:val="none"/>
        </w:rPr>
      </w:pPr>
      <w:r>
        <w:rPr>
          <w:color w:val="auto"/>
          <w:szCs w:val="21"/>
          <w:highlight w:val="none"/>
        </w:rPr>
        <w:t xml:space="preserve">1.本表即为对本项目“第四章 </w:t>
      </w:r>
      <w:r>
        <w:rPr>
          <w:rFonts w:hint="eastAsia"/>
          <w:color w:val="auto"/>
          <w:szCs w:val="21"/>
          <w:highlight w:val="none"/>
          <w:lang w:val="en-US" w:eastAsia="zh-CN"/>
        </w:rPr>
        <w:t>二</w:t>
      </w:r>
      <w:r>
        <w:rPr>
          <w:color w:val="auto"/>
          <w:szCs w:val="21"/>
          <w:highlight w:val="none"/>
        </w:rPr>
        <w:t>.</w:t>
      </w:r>
      <w:r>
        <w:rPr>
          <w:b/>
          <w:color w:val="auto"/>
          <w:szCs w:val="21"/>
          <w:highlight w:val="none"/>
        </w:rPr>
        <w:t>项目技术及质量要求</w:t>
      </w:r>
      <w:r>
        <w:rPr>
          <w:color w:val="auto"/>
          <w:szCs w:val="21"/>
          <w:highlight w:val="none"/>
        </w:rPr>
        <w:t>”中</w:t>
      </w:r>
      <w:r>
        <w:rPr>
          <w:b/>
          <w:color w:val="auto"/>
          <w:szCs w:val="21"/>
          <w:highlight w:val="none"/>
        </w:rPr>
        <w:t xml:space="preserve">所列的全部内容进行比较和响应； </w:t>
      </w:r>
    </w:p>
    <w:p>
      <w:pPr>
        <w:tabs>
          <w:tab w:val="left" w:pos="6300"/>
        </w:tabs>
        <w:snapToGrid w:val="0"/>
        <w:spacing w:line="500" w:lineRule="exact"/>
        <w:ind w:firstLine="420" w:firstLineChars="200"/>
        <w:rPr>
          <w:color w:val="auto"/>
          <w:szCs w:val="21"/>
          <w:highlight w:val="none"/>
        </w:rPr>
      </w:pPr>
      <w:r>
        <w:rPr>
          <w:color w:val="auto"/>
          <w:szCs w:val="21"/>
          <w:highlight w:val="none"/>
        </w:rPr>
        <w:t>2.该表必须按照评比文件要求如实填写，根据响应情况在“差异说明”项填写正偏离或负偏离及原因，完全符合的填写“无差异”；</w:t>
      </w:r>
    </w:p>
    <w:p>
      <w:pPr>
        <w:tabs>
          <w:tab w:val="left" w:pos="6300"/>
        </w:tabs>
        <w:snapToGrid w:val="0"/>
        <w:spacing w:line="500" w:lineRule="exact"/>
        <w:ind w:firstLine="420" w:firstLineChars="200"/>
        <w:rPr>
          <w:color w:val="auto"/>
          <w:szCs w:val="21"/>
          <w:highlight w:val="none"/>
        </w:rPr>
      </w:pPr>
      <w:r>
        <w:rPr>
          <w:color w:val="auto"/>
          <w:szCs w:val="21"/>
          <w:highlight w:val="none"/>
        </w:rPr>
        <w:t>3.该表可扩展；</w:t>
      </w:r>
    </w:p>
    <w:p>
      <w:pPr>
        <w:tabs>
          <w:tab w:val="left" w:pos="6300"/>
        </w:tabs>
        <w:snapToGrid w:val="0"/>
        <w:spacing w:line="500" w:lineRule="exact"/>
        <w:ind w:firstLine="422" w:firstLineChars="200"/>
        <w:rPr>
          <w:b/>
          <w:color w:val="auto"/>
          <w:szCs w:val="21"/>
          <w:highlight w:val="none"/>
        </w:rPr>
      </w:pPr>
      <w:r>
        <w:rPr>
          <w:b/>
          <w:color w:val="auto"/>
          <w:szCs w:val="21"/>
          <w:highlight w:val="none"/>
        </w:rPr>
        <w:t>4.附评比文件中要求提供的相关技术支撑材料。（格式自定）</w:t>
      </w:r>
    </w:p>
    <w:p>
      <w:pPr>
        <w:tabs>
          <w:tab w:val="left" w:pos="6300"/>
        </w:tabs>
        <w:snapToGrid w:val="0"/>
        <w:spacing w:line="500" w:lineRule="exact"/>
        <w:ind w:firstLine="422" w:firstLineChars="200"/>
        <w:rPr>
          <w:b/>
          <w:color w:val="auto"/>
          <w:szCs w:val="21"/>
          <w:highlight w:val="none"/>
        </w:rPr>
      </w:pPr>
    </w:p>
    <w:p>
      <w:pPr>
        <w:tabs>
          <w:tab w:val="left" w:pos="6300"/>
        </w:tabs>
        <w:snapToGrid w:val="0"/>
        <w:spacing w:line="500" w:lineRule="exact"/>
        <w:ind w:firstLine="422" w:firstLineChars="200"/>
        <w:rPr>
          <w:b/>
          <w:color w:val="auto"/>
          <w:szCs w:val="21"/>
          <w:highlight w:val="none"/>
        </w:rPr>
      </w:pPr>
    </w:p>
    <w:p>
      <w:pPr>
        <w:rPr>
          <w:color w:val="auto"/>
          <w:sz w:val="24"/>
          <w:szCs w:val="21"/>
          <w:highlight w:val="none"/>
        </w:rPr>
      </w:pPr>
    </w:p>
    <w:p>
      <w:pPr>
        <w:rPr>
          <w:color w:val="auto"/>
          <w:sz w:val="24"/>
          <w:szCs w:val="21"/>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3"/>
        <w:rPr>
          <w:rFonts w:ascii="Times New Roman" w:hAnsi="Times New Roman" w:eastAsia="宋体"/>
          <w:color w:val="auto"/>
          <w:sz w:val="32"/>
          <w:highlight w:val="none"/>
        </w:rPr>
      </w:pPr>
      <w:r>
        <w:rPr>
          <w:rFonts w:ascii="Times New Roman" w:hAnsi="Times New Roman" w:eastAsia="宋体"/>
          <w:color w:val="auto"/>
          <w:sz w:val="32"/>
          <w:highlight w:val="none"/>
        </w:rPr>
        <w:t>七、商务响应偏离表</w:t>
      </w:r>
    </w:p>
    <w:p>
      <w:pPr>
        <w:rPr>
          <w:color w:val="auto"/>
          <w:sz w:val="24"/>
          <w:szCs w:val="21"/>
          <w:highlight w:val="none"/>
        </w:rPr>
      </w:pPr>
    </w:p>
    <w:p>
      <w:pPr>
        <w:pStyle w:val="90"/>
        <w:ind w:firstLine="420"/>
        <w:rPr>
          <w:rFonts w:ascii="Times New Roman"/>
          <w:color w:val="auto"/>
          <w:sz w:val="21"/>
          <w:szCs w:val="21"/>
          <w:highlight w:val="none"/>
        </w:rPr>
      </w:pPr>
      <w:r>
        <w:rPr>
          <w:rFonts w:ascii="Times New Roman"/>
          <w:color w:val="auto"/>
          <w:sz w:val="21"/>
          <w:szCs w:val="21"/>
          <w:highlight w:val="none"/>
        </w:rPr>
        <w:t>项目名称：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序号</w:t>
            </w: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文件要求</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响应应答</w:t>
            </w: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bl>
    <w:p>
      <w:pPr>
        <w:spacing w:line="500" w:lineRule="exact"/>
        <w:ind w:firstLine="525" w:firstLineChars="250"/>
        <w:rPr>
          <w:color w:val="auto"/>
          <w:szCs w:val="21"/>
          <w:highlight w:val="none"/>
        </w:rPr>
      </w:pPr>
      <w:r>
        <w:rPr>
          <w:color w:val="auto"/>
          <w:szCs w:val="21"/>
          <w:highlight w:val="none"/>
        </w:rPr>
        <w:t>供应商：                                法定代表人（或法定代表人授权代表）或自然人：</w:t>
      </w:r>
    </w:p>
    <w:p>
      <w:pPr>
        <w:spacing w:line="500" w:lineRule="exact"/>
        <w:rPr>
          <w:color w:val="auto"/>
          <w:szCs w:val="21"/>
          <w:highlight w:val="none"/>
        </w:rPr>
      </w:pPr>
      <w:r>
        <w:rPr>
          <w:color w:val="auto"/>
          <w:szCs w:val="21"/>
          <w:highlight w:val="none"/>
        </w:rPr>
        <w:t xml:space="preserve">    </w:t>
      </w:r>
    </w:p>
    <w:p>
      <w:pPr>
        <w:spacing w:line="500" w:lineRule="exact"/>
        <w:ind w:firstLine="630" w:firstLineChars="300"/>
        <w:rPr>
          <w:color w:val="auto"/>
          <w:szCs w:val="21"/>
          <w:highlight w:val="none"/>
        </w:rPr>
      </w:pPr>
      <w:r>
        <w:rPr>
          <w:color w:val="auto"/>
          <w:szCs w:val="21"/>
          <w:highlight w:val="none"/>
        </w:rPr>
        <w:t>（供应商公章）                               （签署或盖章）</w:t>
      </w:r>
    </w:p>
    <w:p>
      <w:pPr>
        <w:tabs>
          <w:tab w:val="left" w:pos="6300"/>
        </w:tabs>
        <w:snapToGrid w:val="0"/>
        <w:spacing w:line="500" w:lineRule="exact"/>
        <w:ind w:firstLine="570"/>
        <w:rPr>
          <w:color w:val="auto"/>
          <w:szCs w:val="21"/>
          <w:highlight w:val="none"/>
        </w:rPr>
      </w:pPr>
      <w:r>
        <w:rPr>
          <w:color w:val="auto"/>
          <w:szCs w:val="21"/>
          <w:highlight w:val="none"/>
        </w:rPr>
        <w:t xml:space="preserve">                                            年     月     日</w:t>
      </w:r>
    </w:p>
    <w:p>
      <w:pPr>
        <w:tabs>
          <w:tab w:val="left" w:pos="6300"/>
        </w:tabs>
        <w:snapToGrid w:val="0"/>
        <w:spacing w:line="500" w:lineRule="exact"/>
        <w:ind w:firstLine="570"/>
        <w:rPr>
          <w:color w:val="auto"/>
          <w:szCs w:val="21"/>
          <w:highlight w:val="none"/>
        </w:rPr>
      </w:pPr>
      <w:r>
        <w:rPr>
          <w:color w:val="auto"/>
          <w:szCs w:val="21"/>
          <w:highlight w:val="none"/>
        </w:rPr>
        <w:t>注：</w:t>
      </w:r>
    </w:p>
    <w:p>
      <w:pPr>
        <w:tabs>
          <w:tab w:val="left" w:pos="6300"/>
        </w:tabs>
        <w:spacing w:line="500" w:lineRule="exact"/>
        <w:ind w:firstLine="420" w:firstLineChars="200"/>
        <w:rPr>
          <w:b/>
          <w:color w:val="auto"/>
          <w:szCs w:val="21"/>
          <w:highlight w:val="none"/>
        </w:rPr>
      </w:pPr>
      <w:r>
        <w:rPr>
          <w:color w:val="auto"/>
          <w:szCs w:val="21"/>
          <w:highlight w:val="none"/>
        </w:rPr>
        <w:t xml:space="preserve">1.本表即为对本项目“第四章 </w:t>
      </w:r>
      <w:r>
        <w:rPr>
          <w:rFonts w:hint="eastAsia"/>
          <w:color w:val="auto"/>
          <w:szCs w:val="21"/>
          <w:highlight w:val="none"/>
          <w:lang w:val="en-US" w:eastAsia="zh-CN"/>
        </w:rPr>
        <w:t>三</w:t>
      </w:r>
      <w:r>
        <w:rPr>
          <w:color w:val="auto"/>
          <w:szCs w:val="21"/>
          <w:highlight w:val="none"/>
        </w:rPr>
        <w:t>.商务要求”中</w:t>
      </w:r>
      <w:r>
        <w:rPr>
          <w:b/>
          <w:color w:val="auto"/>
          <w:szCs w:val="21"/>
          <w:highlight w:val="none"/>
        </w:rPr>
        <w:t xml:space="preserve">所列的全部内容进行比较和响应； </w:t>
      </w:r>
    </w:p>
    <w:p>
      <w:pPr>
        <w:tabs>
          <w:tab w:val="left" w:pos="6300"/>
        </w:tabs>
        <w:snapToGrid w:val="0"/>
        <w:spacing w:line="500" w:lineRule="exact"/>
        <w:ind w:firstLine="420" w:firstLineChars="200"/>
        <w:rPr>
          <w:color w:val="auto"/>
          <w:szCs w:val="21"/>
          <w:highlight w:val="none"/>
        </w:rPr>
      </w:pPr>
      <w:r>
        <w:rPr>
          <w:color w:val="auto"/>
          <w:szCs w:val="21"/>
          <w:highlight w:val="none"/>
        </w:rPr>
        <w:t>2.该表必须按照评比文件要求如实填写，根据响应情况在“差异说明”项填写正偏离或负偏离及原因，完全符合的填写“无差异”；</w:t>
      </w:r>
    </w:p>
    <w:p>
      <w:pPr>
        <w:tabs>
          <w:tab w:val="left" w:pos="6300"/>
        </w:tabs>
        <w:snapToGrid w:val="0"/>
        <w:spacing w:line="500" w:lineRule="exact"/>
        <w:ind w:firstLine="420" w:firstLineChars="200"/>
        <w:rPr>
          <w:color w:val="auto"/>
          <w:szCs w:val="21"/>
          <w:highlight w:val="none"/>
        </w:rPr>
      </w:pPr>
      <w:r>
        <w:rPr>
          <w:color w:val="auto"/>
          <w:szCs w:val="21"/>
          <w:highlight w:val="none"/>
        </w:rPr>
        <w:t>3.该表可扩展；</w:t>
      </w:r>
    </w:p>
    <w:p>
      <w:pPr>
        <w:rPr>
          <w:color w:val="auto"/>
          <w:sz w:val="24"/>
          <w:szCs w:val="21"/>
          <w:highlight w:val="none"/>
        </w:rPr>
      </w:pPr>
      <w:r>
        <w:rPr>
          <w:color w:val="auto"/>
          <w:sz w:val="24"/>
          <w:szCs w:val="21"/>
          <w:highlight w:val="none"/>
        </w:rPr>
        <w:br w:type="page"/>
      </w:r>
    </w:p>
    <w:bookmarkEnd w:id="66"/>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bookmarkStart w:id="75" w:name="_Toc330205892"/>
      <w:bookmarkStart w:id="76" w:name="_Toc10213462"/>
      <w:r>
        <w:rPr>
          <w:rFonts w:eastAsia="宋体"/>
          <w:bCs w:val="0"/>
          <w:color w:val="auto"/>
          <w:kern w:val="2"/>
          <w:szCs w:val="36"/>
          <w:highlight w:val="none"/>
        </w:rPr>
        <w:t>第六章 评审办法</w:t>
      </w:r>
      <w:bookmarkEnd w:id="75"/>
      <w:bookmarkEnd w:id="76"/>
    </w:p>
    <w:p>
      <w:pPr>
        <w:adjustRightInd w:val="0"/>
        <w:snapToGrid w:val="0"/>
        <w:spacing w:line="440" w:lineRule="exact"/>
        <w:rPr>
          <w:b/>
          <w:color w:val="auto"/>
          <w:szCs w:val="21"/>
          <w:highlight w:val="none"/>
        </w:rPr>
      </w:pPr>
      <w:r>
        <w:rPr>
          <w:b/>
          <w:color w:val="auto"/>
          <w:szCs w:val="21"/>
          <w:highlight w:val="none"/>
        </w:rPr>
        <w:t>一、评审原则与标准</w:t>
      </w:r>
    </w:p>
    <w:p>
      <w:pPr>
        <w:adjustRightInd w:val="0"/>
        <w:snapToGrid w:val="0"/>
        <w:spacing w:line="440" w:lineRule="exact"/>
        <w:ind w:firstLine="480"/>
        <w:rPr>
          <w:color w:val="auto"/>
          <w:szCs w:val="21"/>
          <w:highlight w:val="none"/>
        </w:rPr>
      </w:pPr>
      <w:r>
        <w:rPr>
          <w:color w:val="auto"/>
          <w:szCs w:val="21"/>
          <w:highlight w:val="none"/>
        </w:rPr>
        <w:t>评审原则是指评审委员会成员在评审活动中应遵循的原则，即“公平、公正、科学、择优”的原则和评审保密原则。</w:t>
      </w:r>
    </w:p>
    <w:p>
      <w:pPr>
        <w:adjustRightInd w:val="0"/>
        <w:snapToGrid w:val="0"/>
        <w:spacing w:line="440" w:lineRule="exact"/>
        <w:rPr>
          <w:b/>
          <w:color w:val="auto"/>
          <w:szCs w:val="21"/>
          <w:highlight w:val="none"/>
        </w:rPr>
      </w:pPr>
      <w:r>
        <w:rPr>
          <w:b/>
          <w:color w:val="auto"/>
          <w:szCs w:val="21"/>
          <w:highlight w:val="none"/>
        </w:rPr>
        <w:t>二、评审方法</w:t>
      </w:r>
    </w:p>
    <w:p>
      <w:pPr>
        <w:adjustRightInd w:val="0"/>
        <w:snapToGrid w:val="0"/>
        <w:spacing w:line="440" w:lineRule="exact"/>
        <w:ind w:firstLine="480"/>
        <w:rPr>
          <w:color w:val="auto"/>
          <w:szCs w:val="21"/>
          <w:highlight w:val="none"/>
        </w:rPr>
      </w:pPr>
      <w:r>
        <w:rPr>
          <w:color w:val="auto"/>
          <w:szCs w:val="21"/>
          <w:highlight w:val="none"/>
        </w:rPr>
        <w:t>本次评审采用综合评分法，即以有关法律法规、评比文件为依据，对通过初步审查评比供应商的商务、技术及评比报价等方面进行综合评估并按得分高低进行排序及推荐。若得分相同的，按评比技术部分得分高低顺序排列，依次是商务和报价。技术部分得0分的评比供应商不得作为推荐候选供应商。</w:t>
      </w:r>
    </w:p>
    <w:p>
      <w:pPr>
        <w:numPr>
          <w:ilvl w:val="0"/>
          <w:numId w:val="23"/>
        </w:numPr>
        <w:adjustRightInd w:val="0"/>
        <w:snapToGrid w:val="0"/>
        <w:spacing w:line="440" w:lineRule="exact"/>
        <w:rPr>
          <w:color w:val="auto"/>
          <w:szCs w:val="21"/>
          <w:highlight w:val="none"/>
        </w:rPr>
      </w:pPr>
      <w:r>
        <w:rPr>
          <w:b/>
          <w:color w:val="auto"/>
          <w:szCs w:val="21"/>
          <w:highlight w:val="none"/>
        </w:rPr>
        <w:t>评分标准</w:t>
      </w:r>
    </w:p>
    <w:p>
      <w:pPr>
        <w:tabs>
          <w:tab w:val="left" w:pos="993"/>
        </w:tabs>
        <w:autoSpaceDE w:val="0"/>
        <w:autoSpaceDN w:val="0"/>
        <w:adjustRightInd w:val="0"/>
        <w:snapToGrid w:val="0"/>
        <w:spacing w:after="156" w:afterLines="50" w:line="440" w:lineRule="exact"/>
        <w:ind w:firstLine="420" w:firstLineChars="200"/>
        <w:rPr>
          <w:color w:val="auto"/>
          <w:kern w:val="0"/>
          <w:szCs w:val="21"/>
          <w:highlight w:val="none"/>
        </w:rPr>
      </w:pPr>
      <w:r>
        <w:rPr>
          <w:color w:val="auto"/>
          <w:kern w:val="0"/>
          <w:szCs w:val="21"/>
          <w:highlight w:val="none"/>
        </w:rPr>
        <w:t>分值构成：总分100分，其中：</w:t>
      </w:r>
    </w:p>
    <w:p>
      <w:pPr>
        <w:tabs>
          <w:tab w:val="left" w:pos="993"/>
        </w:tabs>
        <w:autoSpaceDE w:val="0"/>
        <w:autoSpaceDN w:val="0"/>
        <w:adjustRightInd w:val="0"/>
        <w:snapToGrid w:val="0"/>
        <w:spacing w:after="156" w:afterLines="50" w:line="440" w:lineRule="exact"/>
        <w:ind w:firstLine="210" w:firstLineChars="100"/>
        <w:rPr>
          <w:color w:val="auto"/>
          <w:kern w:val="0"/>
          <w:szCs w:val="21"/>
          <w:highlight w:val="none"/>
        </w:rPr>
      </w:pPr>
      <w:r>
        <w:rPr>
          <w:color w:val="auto"/>
          <w:kern w:val="0"/>
          <w:szCs w:val="21"/>
          <w:highlight w:val="none"/>
        </w:rPr>
        <w:t>（1）商务部分权重：</w:t>
      </w:r>
      <w:r>
        <w:rPr>
          <w:rFonts w:hint="eastAsia"/>
          <w:color w:val="auto"/>
          <w:kern w:val="0"/>
          <w:szCs w:val="21"/>
          <w:highlight w:val="none"/>
          <w:lang w:val="en-US" w:eastAsia="zh-CN"/>
        </w:rPr>
        <w:t>25</w:t>
      </w:r>
      <w:r>
        <w:rPr>
          <w:color w:val="auto"/>
          <w:kern w:val="0"/>
          <w:szCs w:val="21"/>
          <w:highlight w:val="none"/>
        </w:rPr>
        <w:t>%；</w:t>
      </w:r>
    </w:p>
    <w:p>
      <w:pPr>
        <w:tabs>
          <w:tab w:val="left" w:pos="993"/>
        </w:tabs>
        <w:autoSpaceDE w:val="0"/>
        <w:autoSpaceDN w:val="0"/>
        <w:adjustRightInd w:val="0"/>
        <w:snapToGrid w:val="0"/>
        <w:spacing w:after="156" w:afterLines="50" w:line="440" w:lineRule="exact"/>
        <w:ind w:firstLine="210" w:firstLineChars="100"/>
        <w:rPr>
          <w:color w:val="auto"/>
          <w:kern w:val="0"/>
          <w:szCs w:val="21"/>
          <w:highlight w:val="none"/>
        </w:rPr>
      </w:pPr>
      <w:r>
        <w:rPr>
          <w:color w:val="auto"/>
          <w:kern w:val="0"/>
          <w:szCs w:val="21"/>
          <w:highlight w:val="none"/>
        </w:rPr>
        <w:t>（2）技术部分权重：</w:t>
      </w:r>
      <w:r>
        <w:rPr>
          <w:rFonts w:hint="eastAsia"/>
          <w:color w:val="auto"/>
          <w:kern w:val="0"/>
          <w:szCs w:val="21"/>
          <w:highlight w:val="none"/>
          <w:lang w:val="en-US" w:eastAsia="zh-CN"/>
        </w:rPr>
        <w:t>45</w:t>
      </w:r>
      <w:r>
        <w:rPr>
          <w:color w:val="auto"/>
          <w:kern w:val="0"/>
          <w:szCs w:val="21"/>
          <w:highlight w:val="none"/>
        </w:rPr>
        <w:t xml:space="preserve">%； </w:t>
      </w:r>
    </w:p>
    <w:p>
      <w:pPr>
        <w:tabs>
          <w:tab w:val="left" w:pos="993"/>
        </w:tabs>
        <w:autoSpaceDE w:val="0"/>
        <w:autoSpaceDN w:val="0"/>
        <w:adjustRightInd w:val="0"/>
        <w:snapToGrid w:val="0"/>
        <w:spacing w:after="156" w:afterLines="50" w:line="440" w:lineRule="exact"/>
        <w:ind w:firstLine="210" w:firstLineChars="100"/>
        <w:rPr>
          <w:color w:val="auto"/>
          <w:kern w:val="0"/>
          <w:szCs w:val="21"/>
          <w:highlight w:val="none"/>
        </w:rPr>
      </w:pPr>
      <w:r>
        <w:rPr>
          <w:color w:val="auto"/>
          <w:kern w:val="0"/>
          <w:szCs w:val="21"/>
          <w:highlight w:val="none"/>
        </w:rPr>
        <w:t>（3）报价部分权重：30%。</w:t>
      </w:r>
    </w:p>
    <w:p>
      <w:pPr>
        <w:rPr>
          <w:b/>
          <w:color w:val="auto"/>
          <w:sz w:val="30"/>
          <w:szCs w:val="30"/>
          <w:highlight w:val="none"/>
        </w:rPr>
      </w:pPr>
      <w:r>
        <w:rPr>
          <w:b/>
          <w:color w:val="auto"/>
          <w:sz w:val="30"/>
          <w:szCs w:val="30"/>
          <w:highlight w:val="none"/>
        </w:rPr>
        <w:br w:type="page"/>
      </w:r>
    </w:p>
    <w:p>
      <w:pPr>
        <w:tabs>
          <w:tab w:val="left" w:pos="-94"/>
          <w:tab w:val="left" w:pos="428"/>
        </w:tabs>
        <w:adjustRightInd w:val="0"/>
        <w:spacing w:line="360" w:lineRule="auto"/>
        <w:ind w:left="23" w:leftChars="11"/>
        <w:jc w:val="center"/>
        <w:textAlignment w:val="baseline"/>
        <w:outlineLvl w:val="1"/>
        <w:rPr>
          <w:b/>
          <w:color w:val="auto"/>
          <w:sz w:val="30"/>
          <w:szCs w:val="30"/>
          <w:highlight w:val="none"/>
        </w:rPr>
      </w:pPr>
      <w:r>
        <w:rPr>
          <w:b/>
          <w:color w:val="auto"/>
          <w:sz w:val="30"/>
          <w:szCs w:val="30"/>
          <w:highlight w:val="none"/>
        </w:rPr>
        <w:t>评分标准</w:t>
      </w:r>
    </w:p>
    <w:p>
      <w:pPr>
        <w:rPr>
          <w:bCs/>
          <w:color w:val="auto"/>
          <w:szCs w:val="21"/>
          <w:highlight w:val="none"/>
        </w:rPr>
      </w:pPr>
      <w:r>
        <w:rPr>
          <w:bCs/>
          <w:color w:val="auto"/>
          <w:szCs w:val="21"/>
          <w:highlight w:val="none"/>
        </w:rPr>
        <w:t>本项目满分为100分。综合得分保留小数点后2位。具体分值分配表如下：</w:t>
      </w:r>
    </w:p>
    <w:tbl>
      <w:tblPr>
        <w:tblStyle w:val="39"/>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145"/>
        <w:gridCol w:w="1164"/>
        <w:gridCol w:w="56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693" w:type="dxa"/>
            <w:vAlign w:val="center"/>
          </w:tcPr>
          <w:p>
            <w:pPr>
              <w:adjustRightInd w:val="0"/>
              <w:snapToGrid w:val="0"/>
              <w:spacing w:line="360" w:lineRule="auto"/>
              <w:jc w:val="center"/>
              <w:rPr>
                <w:color w:val="auto"/>
                <w:highlight w:val="none"/>
              </w:rPr>
            </w:pPr>
            <w:r>
              <w:rPr>
                <w:color w:val="auto"/>
                <w:highlight w:val="none"/>
              </w:rPr>
              <w:t>序号</w:t>
            </w:r>
          </w:p>
        </w:tc>
        <w:tc>
          <w:tcPr>
            <w:tcW w:w="2309" w:type="dxa"/>
            <w:gridSpan w:val="2"/>
            <w:vAlign w:val="center"/>
          </w:tcPr>
          <w:p>
            <w:pPr>
              <w:adjustRightInd w:val="0"/>
              <w:snapToGrid w:val="0"/>
              <w:spacing w:line="360" w:lineRule="auto"/>
              <w:jc w:val="center"/>
              <w:rPr>
                <w:color w:val="auto"/>
                <w:highlight w:val="none"/>
              </w:rPr>
            </w:pPr>
            <w:r>
              <w:rPr>
                <w:color w:val="auto"/>
                <w:highlight w:val="none"/>
              </w:rPr>
              <w:t>评审因素</w:t>
            </w:r>
          </w:p>
        </w:tc>
        <w:tc>
          <w:tcPr>
            <w:tcW w:w="5640" w:type="dxa"/>
            <w:vAlign w:val="center"/>
          </w:tcPr>
          <w:p>
            <w:pPr>
              <w:adjustRightInd w:val="0"/>
              <w:snapToGrid w:val="0"/>
              <w:spacing w:line="360" w:lineRule="auto"/>
              <w:jc w:val="center"/>
              <w:rPr>
                <w:color w:val="auto"/>
                <w:highlight w:val="none"/>
              </w:rPr>
            </w:pPr>
            <w:r>
              <w:rPr>
                <w:color w:val="auto"/>
                <w:highlight w:val="none"/>
              </w:rPr>
              <w:t>评分标准</w:t>
            </w:r>
          </w:p>
        </w:tc>
        <w:tc>
          <w:tcPr>
            <w:tcW w:w="1080" w:type="dxa"/>
            <w:vAlign w:val="center"/>
          </w:tcPr>
          <w:p>
            <w:pPr>
              <w:jc w:val="center"/>
              <w:rPr>
                <w:rFonts w:hint="eastAsia" w:eastAsia="宋体"/>
                <w:color w:val="auto"/>
                <w:highlight w:val="none"/>
                <w:lang w:eastAsia="zh-CN"/>
              </w:rPr>
            </w:pPr>
            <w:r>
              <w:rPr>
                <w:rFonts w:hint="eastAsia"/>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93" w:type="dxa"/>
            <w:vAlign w:val="center"/>
          </w:tcPr>
          <w:p>
            <w:pPr>
              <w:adjustRightInd w:val="0"/>
              <w:snapToGrid w:val="0"/>
              <w:spacing w:line="360" w:lineRule="auto"/>
              <w:rPr>
                <w:color w:val="auto"/>
                <w:highlight w:val="none"/>
              </w:rPr>
            </w:pPr>
            <w:r>
              <w:rPr>
                <w:color w:val="auto"/>
                <w:highlight w:val="none"/>
              </w:rPr>
              <w:t>1</w:t>
            </w:r>
          </w:p>
        </w:tc>
        <w:tc>
          <w:tcPr>
            <w:tcW w:w="2309" w:type="dxa"/>
            <w:gridSpan w:val="2"/>
            <w:vAlign w:val="center"/>
          </w:tcPr>
          <w:p>
            <w:pPr>
              <w:adjustRightInd w:val="0"/>
              <w:snapToGrid w:val="0"/>
              <w:spacing w:line="360" w:lineRule="auto"/>
              <w:rPr>
                <w:color w:val="auto"/>
                <w:highlight w:val="none"/>
              </w:rPr>
            </w:pPr>
            <w:r>
              <w:rPr>
                <w:color w:val="auto"/>
                <w:highlight w:val="none"/>
              </w:rPr>
              <w:t>价格部分(30分)</w:t>
            </w:r>
          </w:p>
        </w:tc>
        <w:tc>
          <w:tcPr>
            <w:tcW w:w="5640" w:type="dxa"/>
            <w:vAlign w:val="center"/>
          </w:tcPr>
          <w:p>
            <w:pPr>
              <w:adjustRightInd w:val="0"/>
              <w:snapToGrid w:val="0"/>
              <w:spacing w:line="360" w:lineRule="auto"/>
              <w:rPr>
                <w:color w:val="auto"/>
                <w:highlight w:val="none"/>
              </w:rPr>
            </w:pPr>
            <w:r>
              <w:rPr>
                <w:color w:val="auto"/>
                <w:highlight w:val="none"/>
              </w:rPr>
              <w:t>基准价= 实质性满足采购文件要求且价格最低的报价</w:t>
            </w:r>
          </w:p>
          <w:p>
            <w:pPr>
              <w:adjustRightInd w:val="0"/>
              <w:snapToGrid w:val="0"/>
              <w:spacing w:line="360" w:lineRule="auto"/>
              <w:rPr>
                <w:color w:val="auto"/>
                <w:highlight w:val="none"/>
              </w:rPr>
            </w:pPr>
            <w:r>
              <w:rPr>
                <w:color w:val="auto"/>
                <w:highlight w:val="none"/>
              </w:rPr>
              <w:t>报价得分=（基准价/报价）×30</w:t>
            </w:r>
          </w:p>
        </w:tc>
        <w:tc>
          <w:tcPr>
            <w:tcW w:w="108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93" w:type="dxa"/>
            <w:vMerge w:val="restart"/>
            <w:vAlign w:val="center"/>
          </w:tcPr>
          <w:p>
            <w:pPr>
              <w:adjustRightInd w:val="0"/>
              <w:snapToGrid w:val="0"/>
              <w:spacing w:line="360" w:lineRule="auto"/>
              <w:rPr>
                <w:color w:val="auto"/>
                <w:highlight w:val="none"/>
              </w:rPr>
            </w:pPr>
            <w:r>
              <w:rPr>
                <w:color w:val="auto"/>
                <w:highlight w:val="none"/>
              </w:rPr>
              <w:t>2</w:t>
            </w:r>
          </w:p>
        </w:tc>
        <w:tc>
          <w:tcPr>
            <w:tcW w:w="1145" w:type="dxa"/>
            <w:vMerge w:val="restart"/>
            <w:vAlign w:val="center"/>
          </w:tcPr>
          <w:p>
            <w:pPr>
              <w:adjustRightInd w:val="0"/>
              <w:snapToGrid w:val="0"/>
              <w:spacing w:line="360" w:lineRule="auto"/>
              <w:rPr>
                <w:color w:val="auto"/>
                <w:highlight w:val="none"/>
              </w:rPr>
            </w:pPr>
            <w:r>
              <w:rPr>
                <w:rFonts w:hint="eastAsia"/>
                <w:color w:val="auto"/>
                <w:highlight w:val="none"/>
                <w:lang w:val="en-US" w:eastAsia="zh-CN"/>
              </w:rPr>
              <w:t>技术</w:t>
            </w:r>
            <w:r>
              <w:rPr>
                <w:color w:val="auto"/>
                <w:highlight w:val="none"/>
              </w:rPr>
              <w:t>部分（</w:t>
            </w:r>
            <w:r>
              <w:rPr>
                <w:rFonts w:hint="eastAsia"/>
                <w:color w:val="auto"/>
                <w:highlight w:val="none"/>
                <w:lang w:val="en-US" w:eastAsia="zh-CN"/>
              </w:rPr>
              <w:t>45</w:t>
            </w:r>
            <w:r>
              <w:rPr>
                <w:color w:val="auto"/>
                <w:highlight w:val="none"/>
              </w:rPr>
              <w:t>分）</w:t>
            </w:r>
          </w:p>
        </w:tc>
        <w:tc>
          <w:tcPr>
            <w:tcW w:w="1164" w:type="dxa"/>
            <w:vAlign w:val="center"/>
          </w:tcPr>
          <w:p>
            <w:pPr>
              <w:adjustRightInd w:val="0"/>
              <w:snapToGrid w:val="0"/>
              <w:spacing w:line="360" w:lineRule="auto"/>
              <w:rPr>
                <w:color w:val="auto"/>
                <w:highlight w:val="none"/>
              </w:rPr>
            </w:pPr>
            <w:r>
              <w:rPr>
                <w:rFonts w:hint="eastAsia"/>
                <w:color w:val="auto"/>
                <w:highlight w:val="none"/>
              </w:rPr>
              <w:t>技术条款（30分）</w:t>
            </w:r>
          </w:p>
        </w:tc>
        <w:tc>
          <w:tcPr>
            <w:tcW w:w="5640" w:type="dxa"/>
            <w:vAlign w:val="center"/>
          </w:tcPr>
          <w:p>
            <w:pPr>
              <w:adjustRightInd w:val="0"/>
              <w:snapToGrid w:val="0"/>
              <w:spacing w:line="360" w:lineRule="auto"/>
              <w:rPr>
                <w:color w:val="auto"/>
                <w:highlight w:val="none"/>
              </w:rPr>
            </w:pPr>
            <w:r>
              <w:rPr>
                <w:rFonts w:hint="eastAsia"/>
                <w:color w:val="auto"/>
                <w:highlight w:val="none"/>
              </w:rPr>
              <w:t>1.起评分：</w:t>
            </w:r>
          </w:p>
          <w:p>
            <w:pPr>
              <w:adjustRightInd w:val="0"/>
              <w:snapToGrid w:val="0"/>
              <w:spacing w:line="360" w:lineRule="auto"/>
              <w:rPr>
                <w:color w:val="auto"/>
                <w:highlight w:val="none"/>
              </w:rPr>
            </w:pPr>
            <w:r>
              <w:rPr>
                <w:rFonts w:hint="eastAsia"/>
                <w:color w:val="auto"/>
                <w:highlight w:val="none"/>
              </w:rPr>
              <w:t>有效供应商的起评分为20分。</w:t>
            </w:r>
          </w:p>
          <w:p>
            <w:pPr>
              <w:adjustRightInd w:val="0"/>
              <w:snapToGrid w:val="0"/>
              <w:spacing w:line="360" w:lineRule="auto"/>
              <w:rPr>
                <w:color w:val="auto"/>
                <w:highlight w:val="none"/>
              </w:rPr>
            </w:pPr>
            <w:r>
              <w:rPr>
                <w:rFonts w:hint="eastAsia"/>
                <w:color w:val="auto"/>
                <w:highlight w:val="none"/>
              </w:rPr>
              <w:t>2.扣分条款：</w:t>
            </w:r>
          </w:p>
          <w:p>
            <w:pPr>
              <w:adjustRightInd w:val="0"/>
              <w:snapToGrid w:val="0"/>
              <w:spacing w:line="360" w:lineRule="auto"/>
              <w:rPr>
                <w:color w:val="auto"/>
                <w:highlight w:val="none"/>
              </w:rPr>
            </w:pPr>
            <w:r>
              <w:rPr>
                <w:rFonts w:hint="eastAsia"/>
                <w:color w:val="auto"/>
                <w:highlight w:val="none"/>
              </w:rPr>
              <w:t>2.1响应文件的响应应答有一条不满足本评比文件第四章“2.项目技术及质量要求“中技术需求的，每负偏离一条扣3分，扣完为止。</w:t>
            </w:r>
          </w:p>
          <w:p>
            <w:pPr>
              <w:adjustRightInd w:val="0"/>
              <w:snapToGrid w:val="0"/>
              <w:spacing w:line="360" w:lineRule="auto"/>
              <w:rPr>
                <w:color w:val="auto"/>
                <w:highlight w:val="none"/>
              </w:rPr>
            </w:pPr>
            <w:r>
              <w:rPr>
                <w:rFonts w:hint="eastAsia"/>
                <w:color w:val="auto"/>
                <w:highlight w:val="none"/>
              </w:rPr>
              <w:t>3. 加分条款</w:t>
            </w:r>
          </w:p>
          <w:p>
            <w:pPr>
              <w:adjustRightInd w:val="0"/>
              <w:snapToGrid w:val="0"/>
              <w:spacing w:line="360" w:lineRule="auto"/>
              <w:rPr>
                <w:color w:val="auto"/>
                <w:highlight w:val="none"/>
              </w:rPr>
            </w:pPr>
            <w:r>
              <w:rPr>
                <w:rFonts w:hint="eastAsia"/>
                <w:color w:val="auto"/>
                <w:highlight w:val="none"/>
              </w:rPr>
              <w:t>3.1本评比文件第四章“</w:t>
            </w:r>
            <w:r>
              <w:rPr>
                <w:rFonts w:hint="eastAsia"/>
                <w:color w:val="auto"/>
                <w:highlight w:val="none"/>
                <w:lang w:val="en-US" w:eastAsia="zh-CN"/>
              </w:rPr>
              <w:t>二</w:t>
            </w:r>
            <w:r>
              <w:rPr>
                <w:rFonts w:hint="eastAsia"/>
                <w:color w:val="auto"/>
                <w:highlight w:val="none"/>
              </w:rPr>
              <w:t>.项目技术及质量要求“的技术需求，每正偏离一条加2分，最多可以加10分。</w:t>
            </w:r>
          </w:p>
          <w:p>
            <w:pPr>
              <w:adjustRightInd w:val="0"/>
              <w:snapToGrid w:val="0"/>
              <w:spacing w:line="360" w:lineRule="auto"/>
              <w:rPr>
                <w:color w:val="auto"/>
                <w:highlight w:val="none"/>
              </w:rPr>
            </w:pPr>
            <w:r>
              <w:rPr>
                <w:rFonts w:hint="eastAsia"/>
                <w:color w:val="auto"/>
                <w:highlight w:val="none"/>
              </w:rPr>
              <w:t>注：正偏离部分须提供技术支撑材料，技术支撑材料可以是制造商公开发布且含有技术参数的印刷资料或检测机构出具的检测报告或制造商官方网站公开发布的技术文件或评审专家认可的证明材料,提供相关材料复印件并加盖供应商公章。</w:t>
            </w:r>
          </w:p>
        </w:tc>
        <w:tc>
          <w:tcPr>
            <w:tcW w:w="1080" w:type="dxa"/>
            <w:vAlign w:val="center"/>
          </w:tcPr>
          <w:p>
            <w:pPr>
              <w:adjustRightInd w:val="0"/>
              <w:snapToGrid w:val="0"/>
              <w:spacing w:line="360" w:lineRule="auto"/>
              <w:rPr>
                <w:color w:val="auto"/>
                <w:highlight w:val="none"/>
              </w:rPr>
            </w:pPr>
            <w:r>
              <w:rPr>
                <w:rFonts w:hint="eastAsia"/>
                <w:color w:val="auto"/>
                <w:highlight w:val="none"/>
              </w:rPr>
              <w:t>供应商应完整填写本评比文件第五篇中“技术响应偏离表“，未填写或填写不完整，技术条款得0分。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color w:val="auto"/>
                <w:highlight w:val="none"/>
              </w:rPr>
            </w:pPr>
          </w:p>
        </w:tc>
        <w:tc>
          <w:tcPr>
            <w:tcW w:w="1164" w:type="dxa"/>
            <w:vAlign w:val="center"/>
          </w:tcPr>
          <w:p>
            <w:pPr>
              <w:adjustRightInd w:val="0"/>
              <w:snapToGrid w:val="0"/>
              <w:spacing w:line="360" w:lineRule="auto"/>
              <w:rPr>
                <w:color w:val="auto"/>
                <w:highlight w:val="none"/>
              </w:rPr>
            </w:pPr>
            <w:r>
              <w:rPr>
                <w:rFonts w:hint="eastAsia"/>
                <w:color w:val="auto"/>
                <w:highlight w:val="none"/>
              </w:rPr>
              <w:t>技术服务方案（15分）</w:t>
            </w:r>
          </w:p>
        </w:tc>
        <w:tc>
          <w:tcPr>
            <w:tcW w:w="5640" w:type="dxa"/>
            <w:vAlign w:val="center"/>
          </w:tcPr>
          <w:p>
            <w:pPr>
              <w:adjustRightInd w:val="0"/>
              <w:snapToGrid w:val="0"/>
              <w:spacing w:line="360" w:lineRule="auto"/>
              <w:rPr>
                <w:color w:val="auto"/>
                <w:highlight w:val="none"/>
              </w:rPr>
            </w:pPr>
            <w:r>
              <w:rPr>
                <w:rFonts w:hint="eastAsia"/>
                <w:color w:val="auto"/>
                <w:highlight w:val="none"/>
              </w:rPr>
              <w:t>对各供应商项目技术服务方案的完整性、合理性、可操作性（包含质量保证计划、突发事件处置方案、以及本项目实施过程中的人员服务保障、技术保障、进度和安全保障等）进行综合评审：技术服务方案具有完整性、合理性，可操作性高的得15分；技术服务方案仅具有完整性和合理性的得10分；技术服务方案仅具有合理性的得5分；未提供不得分。</w:t>
            </w:r>
          </w:p>
        </w:tc>
        <w:tc>
          <w:tcPr>
            <w:tcW w:w="1080" w:type="dxa"/>
            <w:vAlign w:val="center"/>
          </w:tcPr>
          <w:p>
            <w:pPr>
              <w:adjustRightInd w:val="0"/>
              <w:snapToGrid w:val="0"/>
              <w:spacing w:line="360" w:lineRule="auto"/>
              <w:rPr>
                <w:color w:val="auto"/>
                <w:highlight w:val="none"/>
              </w:rPr>
            </w:pPr>
            <w:r>
              <w:rPr>
                <w:rFonts w:hint="eastAsia"/>
                <w:color w:val="auto"/>
                <w:highlight w:val="none"/>
              </w:rPr>
              <w:t>供应商提供技术服务方案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722" w:type="dxa"/>
            <w:gridSpan w:val="5"/>
            <w:vAlign w:val="center"/>
          </w:tcPr>
          <w:p>
            <w:pPr>
              <w:adjustRightInd w:val="0"/>
              <w:snapToGrid w:val="0"/>
              <w:spacing w:line="360" w:lineRule="auto"/>
              <w:rPr>
                <w:rFonts w:hint="eastAsia"/>
                <w:color w:val="auto"/>
                <w:highlight w:val="none"/>
              </w:rPr>
            </w:pPr>
            <w:r>
              <w:rPr>
                <w:rFonts w:hint="eastAsia"/>
                <w:color w:val="auto"/>
                <w:highlight w:val="none"/>
              </w:rPr>
              <w:t>供应商的应答应满足评比文件第四章“</w:t>
            </w:r>
            <w:r>
              <w:rPr>
                <w:rFonts w:hint="eastAsia"/>
                <w:color w:val="auto"/>
                <w:highlight w:val="none"/>
                <w:lang w:val="en-US" w:eastAsia="zh-CN"/>
              </w:rPr>
              <w:t>三</w:t>
            </w:r>
            <w:r>
              <w:rPr>
                <w:rFonts w:hint="eastAsia"/>
                <w:color w:val="auto"/>
                <w:highlight w:val="none"/>
              </w:rPr>
              <w:t>.商务要求”中的全部内容，有一条不满足的，商务部分得分为0分，不再进入商务部分的评审。供应商应完整填写本评比文件第五篇中“商务响应偏离表“。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693" w:type="dxa"/>
            <w:vMerge w:val="restart"/>
            <w:vAlign w:val="center"/>
          </w:tcPr>
          <w:p>
            <w:pPr>
              <w:adjustRightInd w:val="0"/>
              <w:snapToGrid w:val="0"/>
              <w:spacing w:line="360" w:lineRule="auto"/>
              <w:rPr>
                <w:color w:val="auto"/>
                <w:highlight w:val="none"/>
              </w:rPr>
            </w:pPr>
            <w:r>
              <w:rPr>
                <w:color w:val="auto"/>
                <w:highlight w:val="none"/>
              </w:rPr>
              <w:t>3</w:t>
            </w:r>
          </w:p>
        </w:tc>
        <w:tc>
          <w:tcPr>
            <w:tcW w:w="1145" w:type="dxa"/>
            <w:vMerge w:val="restart"/>
            <w:vAlign w:val="center"/>
          </w:tcPr>
          <w:p>
            <w:pPr>
              <w:adjustRightInd w:val="0"/>
              <w:snapToGrid w:val="0"/>
              <w:spacing w:line="360" w:lineRule="auto"/>
              <w:rPr>
                <w:color w:val="auto"/>
                <w:highlight w:val="none"/>
              </w:rPr>
            </w:pPr>
            <w:r>
              <w:rPr>
                <w:rFonts w:hint="eastAsia"/>
                <w:color w:val="auto"/>
                <w:highlight w:val="none"/>
                <w:lang w:val="en-US" w:eastAsia="zh-CN"/>
              </w:rPr>
              <w:t>商务</w:t>
            </w:r>
            <w:r>
              <w:rPr>
                <w:color w:val="auto"/>
                <w:highlight w:val="none"/>
              </w:rPr>
              <w:t>部分（</w:t>
            </w:r>
            <w:r>
              <w:rPr>
                <w:rFonts w:hint="eastAsia"/>
                <w:color w:val="auto"/>
                <w:highlight w:val="none"/>
                <w:lang w:val="en-US" w:eastAsia="zh-CN"/>
              </w:rPr>
              <w:t>25</w:t>
            </w:r>
            <w:r>
              <w:rPr>
                <w:color w:val="auto"/>
                <w:highlight w:val="none"/>
              </w:rPr>
              <w:t>分）</w:t>
            </w:r>
          </w:p>
        </w:tc>
        <w:tc>
          <w:tcPr>
            <w:tcW w:w="1164" w:type="dxa"/>
            <w:vMerge w:val="restart"/>
            <w:vAlign w:val="center"/>
          </w:tcPr>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售后服务（10分）</w:t>
            </w: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1．售后服务方案（5分）</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针对质量保证期内的售后服务，在满足评比文件的基础上，供应商提供了完整详细的售后服务方案且针对性强，可行性好、响应时间、质保期、培训计划完整，充分满足项目需求得5分；供应商提供了简单通用的方案，培训计划较完整得3分；供应商提供的方案有缺陷得1分；未提供不得分。</w:t>
            </w:r>
          </w:p>
          <w:p>
            <w:pPr>
              <w:adjustRightInd w:val="0"/>
              <w:snapToGrid w:val="0"/>
              <w:spacing w:line="360" w:lineRule="auto"/>
              <w:rPr>
                <w:rFonts w:hint="eastAsia"/>
                <w:color w:val="auto"/>
                <w:highlight w:val="none"/>
                <w:lang w:val="en-US" w:eastAsia="zh-CN"/>
              </w:rPr>
            </w:pP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rFonts w:hint="eastAsia"/>
                <w:color w:val="auto"/>
                <w:highlight w:val="none"/>
                <w:lang w:val="en-US" w:eastAsia="zh-CN"/>
              </w:rPr>
            </w:pPr>
          </w:p>
        </w:tc>
        <w:tc>
          <w:tcPr>
            <w:tcW w:w="1164" w:type="dxa"/>
            <w:vMerge w:val="continue"/>
            <w:vAlign w:val="center"/>
          </w:tcPr>
          <w:p>
            <w:pPr>
              <w:adjustRightInd w:val="0"/>
              <w:snapToGrid w:val="0"/>
              <w:spacing w:line="360" w:lineRule="auto"/>
              <w:jc w:val="center"/>
              <w:rPr>
                <w:rFonts w:hint="eastAsia"/>
                <w:color w:val="auto"/>
                <w:highlight w:val="none"/>
                <w:lang w:val="en-US" w:eastAsia="zh-CN"/>
              </w:rPr>
            </w:pP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2.备品备件及易损件（5分）</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供应商按评比文件的要求提供备品备件及易损件的清单，根据常用的、容易损坏的备品备件及易损件配备的齐全程度及价格的合理性进行评分，配备齐全且价格合理得5分，配备较齐全且价格较合理得3分，配备较齐全且价格不合理1分。未提供不得分。</w:t>
            </w: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提供备品备件及易损件配置清单及价格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color w:val="auto"/>
                <w:highlight w:val="none"/>
              </w:rPr>
            </w:pPr>
          </w:p>
        </w:tc>
        <w:tc>
          <w:tcPr>
            <w:tcW w:w="1164" w:type="dxa"/>
            <w:vAlign w:val="center"/>
          </w:tcPr>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质保期</w:t>
            </w:r>
          </w:p>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（4分）</w:t>
            </w: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质保期在满足评比文件要的前提下，每增加壹年加2分，最多可加4分。</w:t>
            </w: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color w:val="auto"/>
                <w:highlight w:val="none"/>
              </w:rPr>
            </w:pPr>
          </w:p>
        </w:tc>
        <w:tc>
          <w:tcPr>
            <w:tcW w:w="1164" w:type="dxa"/>
            <w:vAlign w:val="center"/>
          </w:tcPr>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培训方案</w:t>
            </w:r>
          </w:p>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（6分）</w:t>
            </w: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供应商在满足评比文件的要求下，提供更详细的培训方案，对产品操作、使用进行培训，内容可包含培训内容、培训课时、培训地点、培训人数、师资力量等。</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方案有针对性，符合项目实际情况且表述清晰有逻辑性的为优，得6分；方案有针对性，符合项目实际情况且表述清晰有逻辑性，但稍有不足的为良，得4分；方案基本符合项目情况，有针对性但逻辑性和表述有欠缺的，为一般，得2分；未提供不得分。</w:t>
            </w: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color w:val="auto"/>
                <w:highlight w:val="none"/>
              </w:rPr>
            </w:pPr>
          </w:p>
        </w:tc>
        <w:tc>
          <w:tcPr>
            <w:tcW w:w="1164" w:type="dxa"/>
            <w:vAlign w:val="center"/>
          </w:tcPr>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业绩</w:t>
            </w:r>
          </w:p>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（5分）</w:t>
            </w: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 xml:space="preserve">2019年1月1日至今，供应商具有所投设备或类似设备的销售业绩，有一个得1分，总5分。 </w:t>
            </w: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提供合同复印件并加盖供应商公章。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642" w:type="dxa"/>
            <w:gridSpan w:val="4"/>
            <w:vAlign w:val="center"/>
          </w:tcPr>
          <w:p>
            <w:pPr>
              <w:pStyle w:val="264"/>
              <w:spacing w:line="276" w:lineRule="auto"/>
              <w:jc w:val="center"/>
              <w:rPr>
                <w:rFonts w:ascii="Times New Roman" w:hAnsi="Times New Roman" w:cs="Times New Roman"/>
                <w:color w:val="auto"/>
                <w:highlight w:val="none"/>
              </w:rPr>
            </w:pPr>
            <w:r>
              <w:rPr>
                <w:rFonts w:ascii="Times New Roman" w:hAnsi="Times New Roman" w:cs="Times New Roman"/>
                <w:color w:val="auto"/>
                <w:highlight w:val="none"/>
              </w:rPr>
              <w:t>合计</w:t>
            </w:r>
          </w:p>
        </w:tc>
        <w:tc>
          <w:tcPr>
            <w:tcW w:w="1080" w:type="dxa"/>
            <w:vAlign w:val="center"/>
          </w:tcPr>
          <w:p>
            <w:pPr>
              <w:pStyle w:val="264"/>
              <w:spacing w:line="276" w:lineRule="auto"/>
              <w:jc w:val="center"/>
              <w:rPr>
                <w:rFonts w:hint="eastAsia" w:ascii="Times New Roman" w:hAnsi="Times New Roman" w:eastAsia="宋体" w:cs="Times New Roman"/>
                <w:color w:val="auto"/>
                <w:highlight w:val="none"/>
                <w:lang w:val="en-US" w:eastAsia="zh-CN"/>
              </w:rPr>
            </w:pPr>
            <w:r>
              <w:rPr>
                <w:rFonts w:ascii="Times New Roman" w:hAnsi="Times New Roman" w:cs="Times New Roman"/>
                <w:color w:val="auto"/>
                <w:highlight w:val="none"/>
              </w:rPr>
              <w:t>100</w:t>
            </w:r>
            <w:r>
              <w:rPr>
                <w:rFonts w:hint="eastAsia" w:ascii="Times New Roman" w:hAnsi="Times New Roman" w:cs="Times New Roman"/>
                <w:color w:val="auto"/>
                <w:highlight w:val="none"/>
                <w:lang w:val="en-US" w:eastAsia="zh-CN"/>
              </w:rPr>
              <w:t>分</w:t>
            </w:r>
          </w:p>
        </w:tc>
      </w:tr>
    </w:tbl>
    <w:p>
      <w:pPr>
        <w:rPr>
          <w:color w:val="auto"/>
          <w:szCs w:val="21"/>
          <w:highlight w:val="none"/>
        </w:rPr>
      </w:pPr>
    </w:p>
    <w:p>
      <w:pPr>
        <w:rPr>
          <w:color w:val="auto"/>
          <w:szCs w:val="21"/>
          <w:highlight w:val="none"/>
        </w:rPr>
      </w:pPr>
    </w:p>
    <w:sectPr>
      <w:headerReference r:id="rId9" w:type="default"/>
      <w:footerReference r:id="rId10" w:type="default"/>
      <w:pgSz w:w="11906" w:h="16838"/>
      <w:pgMar w:top="851" w:right="1134" w:bottom="85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简楷体">
    <w:altName w:val="宋体"/>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Helvetica-Black">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Frutiger 55 Roman">
    <w:altName w:val="Courier New"/>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rFonts w:ascii="仿宋_GB2312" w:hAnsi="宋体" w:eastAsia="仿宋_GB2312"/>
      </w:rPr>
    </w:pPr>
    <w:r>
      <w:rPr>
        <w:rFonts w:hint="eastAsia" w:ascii="仿宋_GB2312" w:hAnsi="宋体" w:eastAsia="仿宋_GB2312"/>
      </w:rPr>
      <w:t xml:space="preserve">中招国际招标有限公司重庆分公司 </w:t>
    </w:r>
    <w:r>
      <w:rPr>
        <w:rFonts w:ascii="仿宋_GB2312" w:hAnsi="宋体" w:eastAsia="仿宋_GB2312"/>
      </w:rPr>
      <w:t xml:space="preserve">        </w:t>
    </w:r>
    <w:r>
      <w:rPr>
        <w:rFonts w:hint="eastAsia" w:ascii="仿宋_GB2312" w:hAnsi="宋体" w:eastAsia="仿宋_GB2312"/>
        <w:bCs/>
      </w:rPr>
      <w:t>地址</w:t>
    </w:r>
    <w:r>
      <w:rPr>
        <w:rFonts w:hint="eastAsia" w:ascii="仿宋_GB2312" w:hAnsi="宋体" w:eastAsia="仿宋_GB2312"/>
        <w:bCs/>
        <w:sz w:val="21"/>
      </w:rPr>
      <w:t>：</w:t>
    </w:r>
    <w:r>
      <w:rPr>
        <w:rFonts w:hint="eastAsia" w:ascii="仿宋_GB2312" w:hAnsi="宋体" w:eastAsia="仿宋_GB2312"/>
      </w:rPr>
      <w:t>重庆渝北区黄山大道中段53号5-1（双鱼座A栋5楼）</w:t>
    </w:r>
  </w:p>
  <w:p>
    <w:pPr>
      <w:pStyle w:val="26"/>
      <w:ind w:right="360"/>
      <w:rPr>
        <w:rFonts w:ascii="仿宋_GB2312" w:hAnsi="宋体" w:eastAsia="仿宋_GB2312"/>
      </w:rPr>
    </w:pPr>
    <w:r>
      <w:rPr>
        <w:rFonts w:hint="eastAsia" w:ascii="仿宋_GB2312" w:hAnsi="宋体" w:eastAsia="仿宋_GB2312"/>
      </w:rPr>
      <w:t>电话：023-68881331   传真：023-68696636</w:t>
    </w:r>
  </w:p>
  <w:p>
    <w:pPr>
      <w:pStyle w:val="26"/>
      <w:jc w:val="center"/>
      <w:rPr>
        <w:sz w:val="21"/>
      </w:rPr>
    </w:pPr>
    <w:r>
      <w:rPr>
        <w:sz w:val="21"/>
      </w:rPr>
      <w:fldChar w:fldCharType="begin"/>
    </w:r>
    <w:r>
      <w:rPr>
        <w:rStyle w:val="43"/>
        <w:sz w:val="21"/>
      </w:rPr>
      <w:instrText xml:space="preserve"> PAGE </w:instrText>
    </w:r>
    <w:r>
      <w:rPr>
        <w:sz w:val="21"/>
      </w:rPr>
      <w:fldChar w:fldCharType="separate"/>
    </w:r>
    <w:r>
      <w:rPr>
        <w:rStyle w:val="43"/>
        <w:sz w:val="21"/>
      </w:rPr>
      <w:t>2</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43"/>
      </w:rPr>
      <w:instrText xml:space="preserve"> PAGE </w:instrText>
    </w:r>
    <w:r>
      <w:fldChar w:fldCharType="separate"/>
    </w:r>
    <w:r>
      <w:rPr>
        <w:rStyle w:val="4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rPr>
        <w:rFonts w:ascii="仿宋" w:hAnsi="仿宋" w:eastAsia="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9912350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ind w:right="360"/>
                            <w:jc w:val="center"/>
                          </w:pPr>
                          <w:r>
                            <w:rPr>
                              <w:rFonts w:ascii="仿宋" w:hAnsi="仿宋" w:eastAsia="仿宋"/>
                              <w:sz w:val="21"/>
                              <w:szCs w:val="21"/>
                            </w:rPr>
                            <w:fldChar w:fldCharType="begin"/>
                          </w:r>
                          <w:r>
                            <w:rPr>
                              <w:rStyle w:val="43"/>
                              <w:rFonts w:ascii="仿宋" w:hAnsi="仿宋" w:eastAsia="仿宋"/>
                              <w:sz w:val="21"/>
                              <w:szCs w:val="21"/>
                            </w:rPr>
                            <w:instrText xml:space="preserve"> PAGE </w:instrText>
                          </w:r>
                          <w:r>
                            <w:rPr>
                              <w:rFonts w:ascii="仿宋" w:hAnsi="仿宋" w:eastAsia="仿宋"/>
                              <w:sz w:val="21"/>
                              <w:szCs w:val="21"/>
                            </w:rPr>
                            <w:fldChar w:fldCharType="separate"/>
                          </w:r>
                          <w:r>
                            <w:rPr>
                              <w:rStyle w:val="43"/>
                              <w:rFonts w:ascii="仿宋" w:hAnsi="仿宋" w:eastAsia="仿宋"/>
                              <w:sz w:val="21"/>
                              <w:szCs w:val="21"/>
                            </w:rPr>
                            <w:t>10</w:t>
                          </w:r>
                          <w:r>
                            <w:rPr>
                              <w:rFonts w:ascii="仿宋" w:hAnsi="仿宋" w:eastAsia="仿宋"/>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780.5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9nINSC8OSYsXPrJqBPUXAynVBjNG5XX4PG9ZD38Rd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SLaqdQAAAAKAQAADwAAAAAAAAABACAAAAAiAAAAZHJzL2Rvd25yZXYueG1sUEsB&#10;AhQAFAAAAAgAh07iQFpcRlnAAQAAjQMAAA4AAAAAAAAAAQAgAAAAIwEAAGRycy9lMm9Eb2MueG1s&#10;UEsFBgAAAAAGAAYAWQEAAFUFAAAAAA==&#10;">
              <v:fill on="f" focussize="0,0"/>
              <v:stroke on="f"/>
              <v:imagedata o:title=""/>
              <o:lock v:ext="edit" aspectratio="f"/>
              <v:textbox inset="0mm,0mm,0mm,0mm" style="mso-fit-shape-to-text:t;">
                <w:txbxContent>
                  <w:p>
                    <w:pPr>
                      <w:pStyle w:val="26"/>
                      <w:ind w:right="360"/>
                      <w:jc w:val="center"/>
                    </w:pPr>
                    <w:r>
                      <w:rPr>
                        <w:rFonts w:ascii="仿宋" w:hAnsi="仿宋" w:eastAsia="仿宋"/>
                        <w:sz w:val="21"/>
                        <w:szCs w:val="21"/>
                      </w:rPr>
                      <w:fldChar w:fldCharType="begin"/>
                    </w:r>
                    <w:r>
                      <w:rPr>
                        <w:rStyle w:val="43"/>
                        <w:rFonts w:ascii="仿宋" w:hAnsi="仿宋" w:eastAsia="仿宋"/>
                        <w:sz w:val="21"/>
                        <w:szCs w:val="21"/>
                      </w:rPr>
                      <w:instrText xml:space="preserve"> PAGE </w:instrText>
                    </w:r>
                    <w:r>
                      <w:rPr>
                        <w:rFonts w:ascii="仿宋" w:hAnsi="仿宋" w:eastAsia="仿宋"/>
                        <w:sz w:val="21"/>
                        <w:szCs w:val="21"/>
                      </w:rPr>
                      <w:fldChar w:fldCharType="separate"/>
                    </w:r>
                    <w:r>
                      <w:rPr>
                        <w:rStyle w:val="43"/>
                        <w:rFonts w:ascii="仿宋" w:hAnsi="仿宋" w:eastAsia="仿宋"/>
                        <w:sz w:val="21"/>
                        <w:szCs w:val="21"/>
                      </w:rPr>
                      <w:t>10</w:t>
                    </w:r>
                    <w:r>
                      <w:rPr>
                        <w:rFonts w:ascii="仿宋" w:hAnsi="仿宋" w:eastAsia="仿宋"/>
                        <w:sz w:val="21"/>
                        <w:szCs w:val="21"/>
                      </w:rPr>
                      <w:fldChar w:fldCharType="end"/>
                    </w:r>
                  </w:p>
                </w:txbxContent>
              </v:textbox>
            </v:shape>
          </w:pict>
        </mc:Fallback>
      </mc:AlternateContent>
    </w:r>
  </w:p>
  <w:p>
    <w:pPr>
      <w:rPr>
        <w:rFonts w:ascii="仿宋" w:hAnsi="仿宋" w:eastAsia="仿宋"/>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ind w:left="5220" w:hanging="5220" w:hangingChars="2900"/>
      <w:jc w:val="left"/>
      <w:rPr>
        <w:rFonts w:ascii="黑体" w:eastAsia="黑体"/>
      </w:rPr>
    </w:pPr>
    <w:r>
      <w:rPr>
        <w:rFonts w:hint="eastAsia" w:ascii="黑体" w:eastAsia="黑体"/>
      </w:rPr>
      <w:t xml:space="preserve">北京理工大学重庆创新中心空间文化提升项目    </w: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方正仿宋_GBK" w:eastAsia="方正仿宋_GBK"/>
        <w:sz w:val="21"/>
        <w:szCs w:val="24"/>
      </w:rPr>
      <w:t xml:space="preserve"> </w:t>
    </w:r>
    <w:r>
      <w:rPr>
        <w:rFonts w:ascii="方正仿宋_GBK" w:eastAsia="方正仿宋_GBK"/>
        <w:sz w:val="21"/>
        <w:szCs w:val="24"/>
      </w:rPr>
      <w:t xml:space="preserve">  </w:t>
    </w:r>
    <w:r>
      <w:rPr>
        <w:rFonts w:ascii="方正仿宋_GBK" w:eastAsia="方正仿宋_GBK"/>
        <w:sz w:val="21"/>
        <w:szCs w:val="24"/>
      </w:rPr>
      <w:object>
        <v:shape id="_x0000_i1025" o:spt="75" type="#_x0000_t75" style="height:21pt;width:21.75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黑体" w:eastAsia="黑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3B837"/>
    <w:multiLevelType w:val="singleLevel"/>
    <w:tmpl w:val="8433B837"/>
    <w:lvl w:ilvl="0" w:tentative="0">
      <w:start w:val="26"/>
      <w:numFmt w:val="decimal"/>
      <w:suff w:val="space"/>
      <w:lvlText w:val="%1."/>
      <w:lvlJc w:val="left"/>
    </w:lvl>
  </w:abstractNum>
  <w:abstractNum w:abstractNumId="1">
    <w:nsid w:val="ABAAB479"/>
    <w:multiLevelType w:val="singleLevel"/>
    <w:tmpl w:val="ABAAB479"/>
    <w:lvl w:ilvl="0" w:tentative="0">
      <w:start w:val="3"/>
      <w:numFmt w:val="decimal"/>
      <w:suff w:val="nothing"/>
      <w:lvlText w:val="%1、"/>
      <w:lvlJc w:val="left"/>
    </w:lvl>
  </w:abstractNum>
  <w:abstractNum w:abstractNumId="2">
    <w:nsid w:val="B6C8D71A"/>
    <w:multiLevelType w:val="singleLevel"/>
    <w:tmpl w:val="B6C8D71A"/>
    <w:lvl w:ilvl="0" w:tentative="0">
      <w:start w:val="1"/>
      <w:numFmt w:val="decimal"/>
      <w:lvlText w:val="%1)"/>
      <w:lvlJc w:val="left"/>
      <w:pPr>
        <w:ind w:left="425" w:hanging="425"/>
      </w:pPr>
      <w:rPr>
        <w:rFonts w:hint="default"/>
      </w:rPr>
    </w:lvl>
  </w:abstractNum>
  <w:abstractNum w:abstractNumId="3">
    <w:nsid w:val="D098AA1A"/>
    <w:multiLevelType w:val="singleLevel"/>
    <w:tmpl w:val="D098AA1A"/>
    <w:lvl w:ilvl="0" w:tentative="0">
      <w:start w:val="1"/>
      <w:numFmt w:val="decimal"/>
      <w:lvlText w:val="%1)"/>
      <w:lvlJc w:val="left"/>
      <w:pPr>
        <w:ind w:left="425" w:hanging="425"/>
      </w:pPr>
      <w:rPr>
        <w:rFonts w:hint="default"/>
      </w:rPr>
    </w:lvl>
  </w:abstractNum>
  <w:abstractNum w:abstractNumId="4">
    <w:nsid w:val="E540E79D"/>
    <w:multiLevelType w:val="singleLevel"/>
    <w:tmpl w:val="E540E79D"/>
    <w:lvl w:ilvl="0" w:tentative="0">
      <w:start w:val="1"/>
      <w:numFmt w:val="decimal"/>
      <w:suff w:val="nothing"/>
      <w:lvlText w:val="%1）"/>
      <w:lvlJc w:val="left"/>
    </w:lvl>
  </w:abstractNum>
  <w:abstractNum w:abstractNumId="5">
    <w:nsid w:val="EA695811"/>
    <w:multiLevelType w:val="singleLevel"/>
    <w:tmpl w:val="EA695811"/>
    <w:lvl w:ilvl="0" w:tentative="0">
      <w:start w:val="1"/>
      <w:numFmt w:val="decimal"/>
      <w:suff w:val="space"/>
      <w:lvlText w:val="(%1)"/>
      <w:lvlJc w:val="left"/>
    </w:lvl>
  </w:abstractNum>
  <w:abstractNum w:abstractNumId="6">
    <w:nsid w:val="FE8D934A"/>
    <w:multiLevelType w:val="singleLevel"/>
    <w:tmpl w:val="FE8D934A"/>
    <w:lvl w:ilvl="0" w:tentative="0">
      <w:start w:val="1"/>
      <w:numFmt w:val="decimal"/>
      <w:lvlText w:val="%1)"/>
      <w:lvlJc w:val="left"/>
      <w:pPr>
        <w:ind w:left="425" w:hanging="425"/>
      </w:pPr>
      <w:rPr>
        <w:rFonts w:hint="default"/>
      </w:rPr>
    </w:lvl>
  </w:abstractNum>
  <w:abstractNum w:abstractNumId="7">
    <w:nsid w:val="00000002"/>
    <w:multiLevelType w:val="multilevel"/>
    <w:tmpl w:val="0000000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00000004"/>
    <w:multiLevelType w:val="multilevel"/>
    <w:tmpl w:val="00000004"/>
    <w:lvl w:ilvl="0" w:tentative="0">
      <w:start w:val="1"/>
      <w:numFmt w:val="decimal"/>
      <w:isLgl/>
      <w:lvlText w:val="%1."/>
      <w:lvlJc w:val="left"/>
      <w:pPr>
        <w:tabs>
          <w:tab w:val="left" w:pos="624"/>
        </w:tabs>
        <w:ind w:left="624" w:hanging="624"/>
      </w:pPr>
      <w:rPr>
        <w:rFonts w:hint="eastAsia"/>
      </w:rPr>
    </w:lvl>
    <w:lvl w:ilvl="1" w:tentative="0">
      <w:start w:val="1"/>
      <w:numFmt w:val="decimal"/>
      <w:isLgl/>
      <w:lvlText w:val="%1.%2"/>
      <w:lvlJc w:val="left"/>
      <w:pPr>
        <w:tabs>
          <w:tab w:val="left" w:pos="624"/>
        </w:tabs>
        <w:ind w:left="624" w:hanging="624"/>
      </w:pPr>
      <w:rPr>
        <w:rFonts w:hint="eastAsia" w:ascii="宋体" w:hAnsi="宋体" w:eastAsia="宋体"/>
        <w:b w:val="0"/>
      </w:rPr>
    </w:lvl>
    <w:lvl w:ilvl="2" w:tentative="0">
      <w:start w:val="1"/>
      <w:numFmt w:val="lowerLetter"/>
      <w:lvlText w:val="%3)"/>
      <w:lvlJc w:val="left"/>
      <w:pPr>
        <w:tabs>
          <w:tab w:val="left" w:pos="420"/>
        </w:tabs>
        <w:ind w:left="420" w:hanging="420"/>
      </w:pPr>
      <w:rPr>
        <w:rFonts w:hint="eastAsia"/>
      </w:rPr>
    </w:lvl>
    <w:lvl w:ilvl="3" w:tentative="0">
      <w:start w:val="1"/>
      <w:numFmt w:val="decimalEnclosedCircle"/>
      <w:lvlText w:val="%4"/>
      <w:lvlJc w:val="left"/>
      <w:pPr>
        <w:tabs>
          <w:tab w:val="left" w:pos="624"/>
        </w:tabs>
        <w:ind w:left="624" w:hanging="39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05"/>
    <w:multiLevelType w:val="multilevel"/>
    <w:tmpl w:val="00000005"/>
    <w:lvl w:ilvl="0" w:tentative="0">
      <w:start w:val="1"/>
      <w:numFmt w:val="decimal"/>
      <w:lvlText w:val="%1)"/>
      <w:lvlJc w:val="left"/>
      <w:pPr>
        <w:tabs>
          <w:tab w:val="left" w:pos="900"/>
        </w:tabs>
        <w:ind w:left="900" w:hanging="420"/>
      </w:pPr>
    </w:lvl>
    <w:lvl w:ilvl="1" w:tentative="0">
      <w:start w:val="4"/>
      <w:numFmt w:val="japaneseCounting"/>
      <w:lvlText w:val="第%2章"/>
      <w:lvlJc w:val="left"/>
      <w:pPr>
        <w:tabs>
          <w:tab w:val="left" w:pos="2340"/>
        </w:tabs>
        <w:ind w:left="2340" w:hanging="144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00000006"/>
    <w:multiLevelType w:val="singleLevel"/>
    <w:tmpl w:val="00000006"/>
    <w:lvl w:ilvl="0" w:tentative="0">
      <w:start w:val="1"/>
      <w:numFmt w:val="japaneseCounting"/>
      <w:lvlText w:val="第%1章"/>
      <w:lvlJc w:val="left"/>
      <w:pPr>
        <w:tabs>
          <w:tab w:val="left" w:pos="1065"/>
        </w:tabs>
        <w:ind w:left="1065" w:hanging="165"/>
      </w:pPr>
      <w:rPr>
        <w:rFonts w:ascii="微软雅黑" w:hAnsi="微软雅黑" w:eastAsia="微软雅黑" w:cs="Times New Roman"/>
      </w:rPr>
    </w:lvl>
  </w:abstractNum>
  <w:abstractNum w:abstractNumId="11">
    <w:nsid w:val="00000009"/>
    <w:multiLevelType w:val="multilevel"/>
    <w:tmpl w:val="00000009"/>
    <w:lvl w:ilvl="0" w:tentative="0">
      <w:start w:val="13"/>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00000014"/>
    <w:multiLevelType w:val="multilevel"/>
    <w:tmpl w:val="00000014"/>
    <w:lvl w:ilvl="0" w:tentative="0">
      <w:start w:val="1"/>
      <w:numFmt w:val="bullet"/>
      <w:lvlText w:val=""/>
      <w:lvlJc w:val="left"/>
      <w:pPr>
        <w:tabs>
          <w:tab w:val="left" w:pos="1044"/>
        </w:tabs>
        <w:ind w:left="1044" w:hanging="420"/>
      </w:pPr>
      <w:rPr>
        <w:rFonts w:hint="default" w:ascii="Wingdings" w:hAnsi="Wingdings"/>
      </w:rPr>
    </w:lvl>
    <w:lvl w:ilvl="1" w:tentative="0">
      <w:start w:val="1"/>
      <w:numFmt w:val="bullet"/>
      <w:lvlText w:val=""/>
      <w:lvlJc w:val="left"/>
      <w:pPr>
        <w:tabs>
          <w:tab w:val="left" w:pos="1464"/>
        </w:tabs>
        <w:ind w:left="1464" w:hanging="420"/>
      </w:pPr>
      <w:rPr>
        <w:rFonts w:hint="default" w:ascii="Wingdings" w:hAnsi="Wingdings"/>
      </w:rPr>
    </w:lvl>
    <w:lvl w:ilvl="2" w:tentative="0">
      <w:start w:val="1"/>
      <w:numFmt w:val="bullet"/>
      <w:lvlText w:val=""/>
      <w:lvlJc w:val="left"/>
      <w:pPr>
        <w:tabs>
          <w:tab w:val="left" w:pos="1884"/>
        </w:tabs>
        <w:ind w:left="1884" w:hanging="420"/>
      </w:pPr>
      <w:rPr>
        <w:rFonts w:hint="default" w:ascii="Wingdings" w:hAnsi="Wingdings"/>
      </w:rPr>
    </w:lvl>
    <w:lvl w:ilvl="3" w:tentative="0">
      <w:start w:val="1"/>
      <w:numFmt w:val="bullet"/>
      <w:lvlText w:val=""/>
      <w:lvlJc w:val="left"/>
      <w:pPr>
        <w:tabs>
          <w:tab w:val="left" w:pos="2304"/>
        </w:tabs>
        <w:ind w:left="2304" w:hanging="420"/>
      </w:pPr>
      <w:rPr>
        <w:rFonts w:hint="default" w:ascii="Wingdings" w:hAnsi="Wingdings"/>
      </w:rPr>
    </w:lvl>
    <w:lvl w:ilvl="4" w:tentative="0">
      <w:start w:val="1"/>
      <w:numFmt w:val="bullet"/>
      <w:lvlText w:val=""/>
      <w:lvlJc w:val="left"/>
      <w:pPr>
        <w:tabs>
          <w:tab w:val="left" w:pos="2724"/>
        </w:tabs>
        <w:ind w:left="2724" w:hanging="420"/>
      </w:pPr>
      <w:rPr>
        <w:rFonts w:hint="default" w:ascii="Wingdings" w:hAnsi="Wingdings"/>
      </w:rPr>
    </w:lvl>
    <w:lvl w:ilvl="5" w:tentative="0">
      <w:start w:val="1"/>
      <w:numFmt w:val="bullet"/>
      <w:lvlText w:val=""/>
      <w:lvlJc w:val="left"/>
      <w:pPr>
        <w:tabs>
          <w:tab w:val="left" w:pos="3144"/>
        </w:tabs>
        <w:ind w:left="3144" w:hanging="420"/>
      </w:pPr>
      <w:rPr>
        <w:rFonts w:hint="default" w:ascii="Wingdings" w:hAnsi="Wingdings"/>
      </w:rPr>
    </w:lvl>
    <w:lvl w:ilvl="6" w:tentative="0">
      <w:start w:val="1"/>
      <w:numFmt w:val="bullet"/>
      <w:lvlText w:val=""/>
      <w:lvlJc w:val="left"/>
      <w:pPr>
        <w:tabs>
          <w:tab w:val="left" w:pos="3564"/>
        </w:tabs>
        <w:ind w:left="3564" w:hanging="420"/>
      </w:pPr>
      <w:rPr>
        <w:rFonts w:hint="default" w:ascii="Wingdings" w:hAnsi="Wingdings"/>
      </w:rPr>
    </w:lvl>
    <w:lvl w:ilvl="7" w:tentative="0">
      <w:start w:val="1"/>
      <w:numFmt w:val="bullet"/>
      <w:lvlText w:val=""/>
      <w:lvlJc w:val="left"/>
      <w:pPr>
        <w:tabs>
          <w:tab w:val="left" w:pos="3984"/>
        </w:tabs>
        <w:ind w:left="3984" w:hanging="420"/>
      </w:pPr>
      <w:rPr>
        <w:rFonts w:hint="default" w:ascii="Wingdings" w:hAnsi="Wingdings"/>
      </w:rPr>
    </w:lvl>
    <w:lvl w:ilvl="8" w:tentative="0">
      <w:start w:val="1"/>
      <w:numFmt w:val="bullet"/>
      <w:lvlText w:val=""/>
      <w:lvlJc w:val="left"/>
      <w:pPr>
        <w:tabs>
          <w:tab w:val="left" w:pos="4404"/>
        </w:tabs>
        <w:ind w:left="4404" w:hanging="420"/>
      </w:pPr>
      <w:rPr>
        <w:rFonts w:hint="default" w:ascii="Wingdings" w:hAnsi="Wingdings"/>
      </w:rPr>
    </w:lvl>
  </w:abstractNum>
  <w:abstractNum w:abstractNumId="14">
    <w:nsid w:val="12FA3089"/>
    <w:multiLevelType w:val="multilevel"/>
    <w:tmpl w:val="12FA308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1B0E2045"/>
    <w:multiLevelType w:val="multilevel"/>
    <w:tmpl w:val="1B0E2045"/>
    <w:lvl w:ilvl="0" w:tentative="0">
      <w:start w:val="10"/>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CF8608E"/>
    <w:multiLevelType w:val="multilevel"/>
    <w:tmpl w:val="2CF8608E"/>
    <w:lvl w:ilvl="0" w:tentative="0">
      <w:start w:val="22"/>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AD6CAC4"/>
    <w:multiLevelType w:val="singleLevel"/>
    <w:tmpl w:val="3AD6CAC4"/>
    <w:lvl w:ilvl="0" w:tentative="0">
      <w:start w:val="4"/>
      <w:numFmt w:val="chineseCounting"/>
      <w:suff w:val="nothing"/>
      <w:lvlText w:val="%1、"/>
      <w:lvlJc w:val="left"/>
      <w:rPr>
        <w:rFonts w:hint="eastAsia"/>
      </w:rPr>
    </w:lvl>
  </w:abstractNum>
  <w:abstractNum w:abstractNumId="18">
    <w:nsid w:val="4014FF6A"/>
    <w:multiLevelType w:val="singleLevel"/>
    <w:tmpl w:val="4014FF6A"/>
    <w:lvl w:ilvl="0" w:tentative="0">
      <w:start w:val="1"/>
      <w:numFmt w:val="decimal"/>
      <w:lvlText w:val="%1)"/>
      <w:lvlJc w:val="left"/>
      <w:pPr>
        <w:ind w:left="425" w:hanging="425"/>
      </w:pPr>
      <w:rPr>
        <w:rFonts w:hint="default"/>
      </w:rPr>
    </w:lvl>
  </w:abstractNum>
  <w:abstractNum w:abstractNumId="19">
    <w:nsid w:val="5987C441"/>
    <w:multiLevelType w:val="singleLevel"/>
    <w:tmpl w:val="5987C441"/>
    <w:lvl w:ilvl="0" w:tentative="0">
      <w:start w:val="3"/>
      <w:numFmt w:val="chineseCounting"/>
      <w:suff w:val="nothing"/>
      <w:lvlText w:val="%1、"/>
      <w:lvlJc w:val="left"/>
    </w:lvl>
  </w:abstractNum>
  <w:abstractNum w:abstractNumId="20">
    <w:nsid w:val="7818131A"/>
    <w:multiLevelType w:val="singleLevel"/>
    <w:tmpl w:val="7818131A"/>
    <w:lvl w:ilvl="0" w:tentative="0">
      <w:start w:val="1"/>
      <w:numFmt w:val="decimal"/>
      <w:lvlText w:val="(%1)"/>
      <w:lvlJc w:val="left"/>
      <w:pPr>
        <w:tabs>
          <w:tab w:val="left" w:pos="312"/>
        </w:tabs>
      </w:pPr>
    </w:lvl>
  </w:abstractNum>
  <w:abstractNum w:abstractNumId="21">
    <w:nsid w:val="7A0AFD27"/>
    <w:multiLevelType w:val="singleLevel"/>
    <w:tmpl w:val="7A0AFD27"/>
    <w:lvl w:ilvl="0" w:tentative="0">
      <w:start w:val="1"/>
      <w:numFmt w:val="bullet"/>
      <w:lvlText w:val=""/>
      <w:lvlJc w:val="left"/>
      <w:pPr>
        <w:tabs>
          <w:tab w:val="left" w:pos="420"/>
        </w:tabs>
        <w:ind w:left="840" w:hanging="420"/>
      </w:pPr>
      <w:rPr>
        <w:rFonts w:hint="default" w:ascii="Wingdings" w:hAnsi="Wingdings"/>
      </w:rPr>
    </w:lvl>
  </w:abstractNum>
  <w:abstractNum w:abstractNumId="22">
    <w:nsid w:val="7D8810DB"/>
    <w:multiLevelType w:val="multilevel"/>
    <w:tmpl w:val="7D8810DB"/>
    <w:lvl w:ilvl="0" w:tentative="0">
      <w:start w:val="26"/>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7"/>
  </w:num>
  <w:num w:numId="3">
    <w:abstractNumId w:val="12"/>
  </w:num>
  <w:num w:numId="4">
    <w:abstractNumId w:val="10"/>
  </w:num>
  <w:num w:numId="5">
    <w:abstractNumId w:val="15"/>
  </w:num>
  <w:num w:numId="6">
    <w:abstractNumId w:val="11"/>
  </w:num>
  <w:num w:numId="7">
    <w:abstractNumId w:val="17"/>
  </w:num>
  <w:num w:numId="8">
    <w:abstractNumId w:val="13"/>
  </w:num>
  <w:num w:numId="9">
    <w:abstractNumId w:val="9"/>
  </w:num>
  <w:num w:numId="10">
    <w:abstractNumId w:val="14"/>
  </w:num>
  <w:num w:numId="11">
    <w:abstractNumId w:val="3"/>
  </w:num>
  <w:num w:numId="12">
    <w:abstractNumId w:val="8"/>
  </w:num>
  <w:num w:numId="13">
    <w:abstractNumId w:val="16"/>
  </w:num>
  <w:num w:numId="14">
    <w:abstractNumId w:val="0"/>
  </w:num>
  <w:num w:numId="15">
    <w:abstractNumId w:val="22"/>
  </w:num>
  <w:num w:numId="16">
    <w:abstractNumId w:val="1"/>
  </w:num>
  <w:num w:numId="17">
    <w:abstractNumId w:val="2"/>
  </w:num>
  <w:num w:numId="18">
    <w:abstractNumId w:val="21"/>
  </w:num>
  <w:num w:numId="19">
    <w:abstractNumId w:val="6"/>
  </w:num>
  <w:num w:numId="20">
    <w:abstractNumId w:val="18"/>
  </w:num>
  <w:num w:numId="21">
    <w:abstractNumId w:val="4"/>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MzE1ZGYwNjQ3NjY3MWRhZGY2NjU3MGM5YzNkNTgifQ=="/>
  </w:docVars>
  <w:rsids>
    <w:rsidRoot w:val="00050E81"/>
    <w:rsid w:val="000010BE"/>
    <w:rsid w:val="00004192"/>
    <w:rsid w:val="00005D3B"/>
    <w:rsid w:val="00007EC4"/>
    <w:rsid w:val="00016457"/>
    <w:rsid w:val="00024EE4"/>
    <w:rsid w:val="000309D6"/>
    <w:rsid w:val="00034D38"/>
    <w:rsid w:val="00050E81"/>
    <w:rsid w:val="00057061"/>
    <w:rsid w:val="0007140F"/>
    <w:rsid w:val="00075796"/>
    <w:rsid w:val="00080FA3"/>
    <w:rsid w:val="000939B9"/>
    <w:rsid w:val="00096C3C"/>
    <w:rsid w:val="000A4829"/>
    <w:rsid w:val="000A62FF"/>
    <w:rsid w:val="000B38BD"/>
    <w:rsid w:val="000B4591"/>
    <w:rsid w:val="000B649D"/>
    <w:rsid w:val="000C6AF6"/>
    <w:rsid w:val="000D2FBB"/>
    <w:rsid w:val="000D386C"/>
    <w:rsid w:val="000D65B4"/>
    <w:rsid w:val="000E6FD9"/>
    <w:rsid w:val="000E7285"/>
    <w:rsid w:val="000F40BC"/>
    <w:rsid w:val="001150F7"/>
    <w:rsid w:val="00115E18"/>
    <w:rsid w:val="00142098"/>
    <w:rsid w:val="00145B02"/>
    <w:rsid w:val="00145F9B"/>
    <w:rsid w:val="0016119F"/>
    <w:rsid w:val="00164072"/>
    <w:rsid w:val="001715A3"/>
    <w:rsid w:val="00176499"/>
    <w:rsid w:val="001855BE"/>
    <w:rsid w:val="00191BF0"/>
    <w:rsid w:val="001930F3"/>
    <w:rsid w:val="001B0255"/>
    <w:rsid w:val="001B43C8"/>
    <w:rsid w:val="001C12A3"/>
    <w:rsid w:val="001D3663"/>
    <w:rsid w:val="001D7B0F"/>
    <w:rsid w:val="001E1FB1"/>
    <w:rsid w:val="001E53A2"/>
    <w:rsid w:val="001E6970"/>
    <w:rsid w:val="001F20E6"/>
    <w:rsid w:val="00201EAC"/>
    <w:rsid w:val="0020432E"/>
    <w:rsid w:val="00206860"/>
    <w:rsid w:val="00215773"/>
    <w:rsid w:val="002200BF"/>
    <w:rsid w:val="0022036C"/>
    <w:rsid w:val="0024155E"/>
    <w:rsid w:val="00242277"/>
    <w:rsid w:val="00243BF0"/>
    <w:rsid w:val="00245BB1"/>
    <w:rsid w:val="00255535"/>
    <w:rsid w:val="00255560"/>
    <w:rsid w:val="002808B4"/>
    <w:rsid w:val="0028413B"/>
    <w:rsid w:val="002873B4"/>
    <w:rsid w:val="00292150"/>
    <w:rsid w:val="002A15F7"/>
    <w:rsid w:val="002A2C87"/>
    <w:rsid w:val="002A3FC7"/>
    <w:rsid w:val="002A65C0"/>
    <w:rsid w:val="002B0EB9"/>
    <w:rsid w:val="002B23DF"/>
    <w:rsid w:val="002D2FCE"/>
    <w:rsid w:val="002D3B80"/>
    <w:rsid w:val="002D5FDF"/>
    <w:rsid w:val="002D7A61"/>
    <w:rsid w:val="002E1511"/>
    <w:rsid w:val="002F1218"/>
    <w:rsid w:val="002F25D0"/>
    <w:rsid w:val="002F6E2D"/>
    <w:rsid w:val="003225A7"/>
    <w:rsid w:val="00323F2D"/>
    <w:rsid w:val="00324C29"/>
    <w:rsid w:val="003276BD"/>
    <w:rsid w:val="00340589"/>
    <w:rsid w:val="0034368A"/>
    <w:rsid w:val="00351A34"/>
    <w:rsid w:val="00353CA5"/>
    <w:rsid w:val="00354B05"/>
    <w:rsid w:val="0035616C"/>
    <w:rsid w:val="003574FC"/>
    <w:rsid w:val="0037460C"/>
    <w:rsid w:val="00375A82"/>
    <w:rsid w:val="003815A1"/>
    <w:rsid w:val="00390188"/>
    <w:rsid w:val="00392592"/>
    <w:rsid w:val="00395008"/>
    <w:rsid w:val="003A18BA"/>
    <w:rsid w:val="003B3334"/>
    <w:rsid w:val="003B552A"/>
    <w:rsid w:val="003B55EE"/>
    <w:rsid w:val="003C73E4"/>
    <w:rsid w:val="003D07D1"/>
    <w:rsid w:val="003E15CC"/>
    <w:rsid w:val="003F1175"/>
    <w:rsid w:val="003F34B3"/>
    <w:rsid w:val="003F4062"/>
    <w:rsid w:val="003F5511"/>
    <w:rsid w:val="0040117C"/>
    <w:rsid w:val="00412B62"/>
    <w:rsid w:val="004334B6"/>
    <w:rsid w:val="004339C6"/>
    <w:rsid w:val="00447194"/>
    <w:rsid w:val="00452BBF"/>
    <w:rsid w:val="00452E50"/>
    <w:rsid w:val="00471F47"/>
    <w:rsid w:val="004875CD"/>
    <w:rsid w:val="004A389D"/>
    <w:rsid w:val="004A6E41"/>
    <w:rsid w:val="004C649C"/>
    <w:rsid w:val="004E1662"/>
    <w:rsid w:val="004E5AC1"/>
    <w:rsid w:val="004E79F3"/>
    <w:rsid w:val="004E7DA9"/>
    <w:rsid w:val="004F75FC"/>
    <w:rsid w:val="00520660"/>
    <w:rsid w:val="005228B2"/>
    <w:rsid w:val="00522B5D"/>
    <w:rsid w:val="0053472C"/>
    <w:rsid w:val="00536CD4"/>
    <w:rsid w:val="00537BF8"/>
    <w:rsid w:val="00553C98"/>
    <w:rsid w:val="0055577B"/>
    <w:rsid w:val="00556A7C"/>
    <w:rsid w:val="005609E2"/>
    <w:rsid w:val="00575DCF"/>
    <w:rsid w:val="00582280"/>
    <w:rsid w:val="00584E27"/>
    <w:rsid w:val="00590528"/>
    <w:rsid w:val="005916DF"/>
    <w:rsid w:val="005A34D5"/>
    <w:rsid w:val="005A4D32"/>
    <w:rsid w:val="005D60B1"/>
    <w:rsid w:val="00602F1F"/>
    <w:rsid w:val="00617345"/>
    <w:rsid w:val="00617BFD"/>
    <w:rsid w:val="00621712"/>
    <w:rsid w:val="0062357A"/>
    <w:rsid w:val="00627B07"/>
    <w:rsid w:val="00627E1F"/>
    <w:rsid w:val="006475EE"/>
    <w:rsid w:val="00647C93"/>
    <w:rsid w:val="006500AD"/>
    <w:rsid w:val="006509B0"/>
    <w:rsid w:val="00653928"/>
    <w:rsid w:val="006603B6"/>
    <w:rsid w:val="0067317D"/>
    <w:rsid w:val="00674916"/>
    <w:rsid w:val="0068017D"/>
    <w:rsid w:val="00681D09"/>
    <w:rsid w:val="00691A14"/>
    <w:rsid w:val="006926C1"/>
    <w:rsid w:val="00694B77"/>
    <w:rsid w:val="006A0364"/>
    <w:rsid w:val="006A55CA"/>
    <w:rsid w:val="006A62E7"/>
    <w:rsid w:val="006B1D39"/>
    <w:rsid w:val="006B250F"/>
    <w:rsid w:val="006B4A36"/>
    <w:rsid w:val="006E29E9"/>
    <w:rsid w:val="006F582A"/>
    <w:rsid w:val="00714DC5"/>
    <w:rsid w:val="0071767F"/>
    <w:rsid w:val="00733D83"/>
    <w:rsid w:val="00754F62"/>
    <w:rsid w:val="00757224"/>
    <w:rsid w:val="00760650"/>
    <w:rsid w:val="00782B49"/>
    <w:rsid w:val="00784E9E"/>
    <w:rsid w:val="00797287"/>
    <w:rsid w:val="007B0E04"/>
    <w:rsid w:val="007B3530"/>
    <w:rsid w:val="007B3812"/>
    <w:rsid w:val="007B79FC"/>
    <w:rsid w:val="007C37F7"/>
    <w:rsid w:val="007C6FFD"/>
    <w:rsid w:val="007D3926"/>
    <w:rsid w:val="007D626B"/>
    <w:rsid w:val="007E5F91"/>
    <w:rsid w:val="007E61BA"/>
    <w:rsid w:val="007E6A88"/>
    <w:rsid w:val="007F0961"/>
    <w:rsid w:val="008046C3"/>
    <w:rsid w:val="0081756C"/>
    <w:rsid w:val="00817BF0"/>
    <w:rsid w:val="00821BB7"/>
    <w:rsid w:val="00830915"/>
    <w:rsid w:val="00834D5A"/>
    <w:rsid w:val="00840723"/>
    <w:rsid w:val="00861D9E"/>
    <w:rsid w:val="00865F14"/>
    <w:rsid w:val="008661DE"/>
    <w:rsid w:val="00867A56"/>
    <w:rsid w:val="00875EF4"/>
    <w:rsid w:val="00880BD2"/>
    <w:rsid w:val="00880F80"/>
    <w:rsid w:val="008902DB"/>
    <w:rsid w:val="008972E5"/>
    <w:rsid w:val="008975A1"/>
    <w:rsid w:val="008B1592"/>
    <w:rsid w:val="008B55F0"/>
    <w:rsid w:val="008D6BB0"/>
    <w:rsid w:val="008F7823"/>
    <w:rsid w:val="00906566"/>
    <w:rsid w:val="00912D01"/>
    <w:rsid w:val="009132ED"/>
    <w:rsid w:val="00917720"/>
    <w:rsid w:val="009217F1"/>
    <w:rsid w:val="00921E4E"/>
    <w:rsid w:val="00922034"/>
    <w:rsid w:val="00926E2A"/>
    <w:rsid w:val="009334BA"/>
    <w:rsid w:val="00945073"/>
    <w:rsid w:val="0096044B"/>
    <w:rsid w:val="00966210"/>
    <w:rsid w:val="009705EE"/>
    <w:rsid w:val="0097183B"/>
    <w:rsid w:val="00975F82"/>
    <w:rsid w:val="009803B6"/>
    <w:rsid w:val="00981E4E"/>
    <w:rsid w:val="00986F96"/>
    <w:rsid w:val="00990E0D"/>
    <w:rsid w:val="009A22FB"/>
    <w:rsid w:val="009A7D42"/>
    <w:rsid w:val="009B42B6"/>
    <w:rsid w:val="009E44F9"/>
    <w:rsid w:val="009E72DA"/>
    <w:rsid w:val="009F4E87"/>
    <w:rsid w:val="00A055D2"/>
    <w:rsid w:val="00A13FE5"/>
    <w:rsid w:val="00A17206"/>
    <w:rsid w:val="00A2137E"/>
    <w:rsid w:val="00A316A6"/>
    <w:rsid w:val="00A3195D"/>
    <w:rsid w:val="00A40509"/>
    <w:rsid w:val="00A42479"/>
    <w:rsid w:val="00A5071A"/>
    <w:rsid w:val="00A605C4"/>
    <w:rsid w:val="00A61A27"/>
    <w:rsid w:val="00A650EE"/>
    <w:rsid w:val="00A77458"/>
    <w:rsid w:val="00AA7137"/>
    <w:rsid w:val="00AB6F9D"/>
    <w:rsid w:val="00AC4680"/>
    <w:rsid w:val="00AC790F"/>
    <w:rsid w:val="00AD0302"/>
    <w:rsid w:val="00AD2F95"/>
    <w:rsid w:val="00AD6B9B"/>
    <w:rsid w:val="00AE0D87"/>
    <w:rsid w:val="00AE5732"/>
    <w:rsid w:val="00AF0FDC"/>
    <w:rsid w:val="00B143B2"/>
    <w:rsid w:val="00B25CA1"/>
    <w:rsid w:val="00B264C2"/>
    <w:rsid w:val="00B30B0D"/>
    <w:rsid w:val="00B31C05"/>
    <w:rsid w:val="00B444CA"/>
    <w:rsid w:val="00B50B9B"/>
    <w:rsid w:val="00B51999"/>
    <w:rsid w:val="00B5317C"/>
    <w:rsid w:val="00B66FEB"/>
    <w:rsid w:val="00B82C0F"/>
    <w:rsid w:val="00B93869"/>
    <w:rsid w:val="00B93BF5"/>
    <w:rsid w:val="00B93D9D"/>
    <w:rsid w:val="00B97D31"/>
    <w:rsid w:val="00BB4284"/>
    <w:rsid w:val="00BB43BC"/>
    <w:rsid w:val="00BB6069"/>
    <w:rsid w:val="00BC1D69"/>
    <w:rsid w:val="00BD1E9F"/>
    <w:rsid w:val="00BD3F36"/>
    <w:rsid w:val="00BE597C"/>
    <w:rsid w:val="00BE68F2"/>
    <w:rsid w:val="00BE7767"/>
    <w:rsid w:val="00BF3341"/>
    <w:rsid w:val="00C0490E"/>
    <w:rsid w:val="00C04B7F"/>
    <w:rsid w:val="00C07291"/>
    <w:rsid w:val="00C10C76"/>
    <w:rsid w:val="00C12CD2"/>
    <w:rsid w:val="00C12E7C"/>
    <w:rsid w:val="00C15208"/>
    <w:rsid w:val="00C1556F"/>
    <w:rsid w:val="00C16E51"/>
    <w:rsid w:val="00C219B3"/>
    <w:rsid w:val="00C225F8"/>
    <w:rsid w:val="00C24E74"/>
    <w:rsid w:val="00C272BF"/>
    <w:rsid w:val="00C50507"/>
    <w:rsid w:val="00C511A9"/>
    <w:rsid w:val="00C6051D"/>
    <w:rsid w:val="00C65E70"/>
    <w:rsid w:val="00C706B5"/>
    <w:rsid w:val="00C76195"/>
    <w:rsid w:val="00C76378"/>
    <w:rsid w:val="00C827CD"/>
    <w:rsid w:val="00C84C23"/>
    <w:rsid w:val="00C900C5"/>
    <w:rsid w:val="00C95300"/>
    <w:rsid w:val="00C9682B"/>
    <w:rsid w:val="00CA2079"/>
    <w:rsid w:val="00CB110D"/>
    <w:rsid w:val="00CC26BB"/>
    <w:rsid w:val="00CD259C"/>
    <w:rsid w:val="00CD4F58"/>
    <w:rsid w:val="00CE4873"/>
    <w:rsid w:val="00CE4DDB"/>
    <w:rsid w:val="00CE7EF1"/>
    <w:rsid w:val="00CF6F47"/>
    <w:rsid w:val="00D03376"/>
    <w:rsid w:val="00D20C53"/>
    <w:rsid w:val="00D2785F"/>
    <w:rsid w:val="00D44C2B"/>
    <w:rsid w:val="00D44D2B"/>
    <w:rsid w:val="00D60B8F"/>
    <w:rsid w:val="00D7591F"/>
    <w:rsid w:val="00D7624D"/>
    <w:rsid w:val="00D92754"/>
    <w:rsid w:val="00DA0318"/>
    <w:rsid w:val="00DA1AEB"/>
    <w:rsid w:val="00DA7E2A"/>
    <w:rsid w:val="00DB28B4"/>
    <w:rsid w:val="00DD019E"/>
    <w:rsid w:val="00DD0ED8"/>
    <w:rsid w:val="00DD4D57"/>
    <w:rsid w:val="00DD634C"/>
    <w:rsid w:val="00DE47E0"/>
    <w:rsid w:val="00DF13CC"/>
    <w:rsid w:val="00DF31E0"/>
    <w:rsid w:val="00DF6277"/>
    <w:rsid w:val="00DF6527"/>
    <w:rsid w:val="00E01F54"/>
    <w:rsid w:val="00E11E8C"/>
    <w:rsid w:val="00E15029"/>
    <w:rsid w:val="00E2349D"/>
    <w:rsid w:val="00E23A2E"/>
    <w:rsid w:val="00E264CE"/>
    <w:rsid w:val="00E30230"/>
    <w:rsid w:val="00E32BDF"/>
    <w:rsid w:val="00E33173"/>
    <w:rsid w:val="00E43924"/>
    <w:rsid w:val="00E4784A"/>
    <w:rsid w:val="00E51070"/>
    <w:rsid w:val="00E55EC2"/>
    <w:rsid w:val="00E62874"/>
    <w:rsid w:val="00E639F9"/>
    <w:rsid w:val="00E96C9D"/>
    <w:rsid w:val="00EB0A3E"/>
    <w:rsid w:val="00EC1CCF"/>
    <w:rsid w:val="00EC42AD"/>
    <w:rsid w:val="00ED55FF"/>
    <w:rsid w:val="00EE7B7D"/>
    <w:rsid w:val="00EF094D"/>
    <w:rsid w:val="00EF1C50"/>
    <w:rsid w:val="00EF44EC"/>
    <w:rsid w:val="00F017BE"/>
    <w:rsid w:val="00F04DA4"/>
    <w:rsid w:val="00F1075F"/>
    <w:rsid w:val="00F123C9"/>
    <w:rsid w:val="00F1253F"/>
    <w:rsid w:val="00F17389"/>
    <w:rsid w:val="00F2080D"/>
    <w:rsid w:val="00F247B4"/>
    <w:rsid w:val="00F271F9"/>
    <w:rsid w:val="00F30B9B"/>
    <w:rsid w:val="00F34DEA"/>
    <w:rsid w:val="00F42F12"/>
    <w:rsid w:val="00F42F57"/>
    <w:rsid w:val="00F46773"/>
    <w:rsid w:val="00F675CD"/>
    <w:rsid w:val="00F81AC8"/>
    <w:rsid w:val="00F96124"/>
    <w:rsid w:val="00F96EC6"/>
    <w:rsid w:val="00FA0B7E"/>
    <w:rsid w:val="00FA147D"/>
    <w:rsid w:val="00FD1430"/>
    <w:rsid w:val="00FE0C52"/>
    <w:rsid w:val="00FE18BC"/>
    <w:rsid w:val="00FE601F"/>
    <w:rsid w:val="00FF03AE"/>
    <w:rsid w:val="02EC130B"/>
    <w:rsid w:val="04B34EFE"/>
    <w:rsid w:val="06D40BE5"/>
    <w:rsid w:val="06EB281A"/>
    <w:rsid w:val="074A2459"/>
    <w:rsid w:val="074A53D1"/>
    <w:rsid w:val="078874C5"/>
    <w:rsid w:val="07A17511"/>
    <w:rsid w:val="07B91ED6"/>
    <w:rsid w:val="092B4317"/>
    <w:rsid w:val="0A410D61"/>
    <w:rsid w:val="0BB565B1"/>
    <w:rsid w:val="0BEE462D"/>
    <w:rsid w:val="0C9704EB"/>
    <w:rsid w:val="0E05536B"/>
    <w:rsid w:val="0F030974"/>
    <w:rsid w:val="0F3C02B6"/>
    <w:rsid w:val="0F414BDF"/>
    <w:rsid w:val="0F4B58CF"/>
    <w:rsid w:val="105D6CDE"/>
    <w:rsid w:val="107C3429"/>
    <w:rsid w:val="10A83678"/>
    <w:rsid w:val="11D44511"/>
    <w:rsid w:val="123228ED"/>
    <w:rsid w:val="12353631"/>
    <w:rsid w:val="13D529D6"/>
    <w:rsid w:val="13E55C7E"/>
    <w:rsid w:val="14D61C18"/>
    <w:rsid w:val="15542EF1"/>
    <w:rsid w:val="15D6208E"/>
    <w:rsid w:val="18F84BCF"/>
    <w:rsid w:val="1A770759"/>
    <w:rsid w:val="1A873E90"/>
    <w:rsid w:val="1B2236A3"/>
    <w:rsid w:val="1B3501FE"/>
    <w:rsid w:val="1C280D3F"/>
    <w:rsid w:val="1E7C51A0"/>
    <w:rsid w:val="1EA31F7A"/>
    <w:rsid w:val="1EAB563F"/>
    <w:rsid w:val="1F235B73"/>
    <w:rsid w:val="1F3C0F11"/>
    <w:rsid w:val="203B6491"/>
    <w:rsid w:val="20B53430"/>
    <w:rsid w:val="21015550"/>
    <w:rsid w:val="211461CA"/>
    <w:rsid w:val="219D5E7A"/>
    <w:rsid w:val="22145152"/>
    <w:rsid w:val="22215F9A"/>
    <w:rsid w:val="22C10948"/>
    <w:rsid w:val="22DE2A7D"/>
    <w:rsid w:val="24B2529A"/>
    <w:rsid w:val="24DB124F"/>
    <w:rsid w:val="25127CDC"/>
    <w:rsid w:val="25AB7FD5"/>
    <w:rsid w:val="262A022F"/>
    <w:rsid w:val="26D01F34"/>
    <w:rsid w:val="26DE6711"/>
    <w:rsid w:val="27400656"/>
    <w:rsid w:val="281640ED"/>
    <w:rsid w:val="28475ED6"/>
    <w:rsid w:val="29294F75"/>
    <w:rsid w:val="295178A8"/>
    <w:rsid w:val="295D46B6"/>
    <w:rsid w:val="29B055B2"/>
    <w:rsid w:val="29E027C4"/>
    <w:rsid w:val="29E407A8"/>
    <w:rsid w:val="2B293F52"/>
    <w:rsid w:val="2D206443"/>
    <w:rsid w:val="2DC63E07"/>
    <w:rsid w:val="2DED4237"/>
    <w:rsid w:val="2E481C07"/>
    <w:rsid w:val="2E4B2262"/>
    <w:rsid w:val="2E7513DB"/>
    <w:rsid w:val="2E9D587B"/>
    <w:rsid w:val="2EFA10EB"/>
    <w:rsid w:val="2FB52F89"/>
    <w:rsid w:val="30117BD5"/>
    <w:rsid w:val="30B21D15"/>
    <w:rsid w:val="30DA4C5F"/>
    <w:rsid w:val="30E25ECB"/>
    <w:rsid w:val="313244A7"/>
    <w:rsid w:val="319D2CBE"/>
    <w:rsid w:val="321F0F89"/>
    <w:rsid w:val="323C401E"/>
    <w:rsid w:val="32B5093E"/>
    <w:rsid w:val="32BE019B"/>
    <w:rsid w:val="32E47AED"/>
    <w:rsid w:val="341847E7"/>
    <w:rsid w:val="345614B9"/>
    <w:rsid w:val="34DA5AEB"/>
    <w:rsid w:val="34E01C60"/>
    <w:rsid w:val="34F32CB1"/>
    <w:rsid w:val="35FD3DBA"/>
    <w:rsid w:val="36A908A4"/>
    <w:rsid w:val="370300F7"/>
    <w:rsid w:val="3722467B"/>
    <w:rsid w:val="37FB6841"/>
    <w:rsid w:val="38EC20B0"/>
    <w:rsid w:val="39B147B9"/>
    <w:rsid w:val="3A0C2048"/>
    <w:rsid w:val="3AB17002"/>
    <w:rsid w:val="3BAA5C47"/>
    <w:rsid w:val="3D0D7DD8"/>
    <w:rsid w:val="3D5642D8"/>
    <w:rsid w:val="3D9D3CB5"/>
    <w:rsid w:val="3DD813C2"/>
    <w:rsid w:val="3DFF3A68"/>
    <w:rsid w:val="3E310076"/>
    <w:rsid w:val="3F5D52A2"/>
    <w:rsid w:val="3F685C50"/>
    <w:rsid w:val="40D803C7"/>
    <w:rsid w:val="40DB53FE"/>
    <w:rsid w:val="40E337FC"/>
    <w:rsid w:val="40FE2CBD"/>
    <w:rsid w:val="412D38F9"/>
    <w:rsid w:val="4156060E"/>
    <w:rsid w:val="41630892"/>
    <w:rsid w:val="41B63597"/>
    <w:rsid w:val="422D1B84"/>
    <w:rsid w:val="44455C30"/>
    <w:rsid w:val="445D2423"/>
    <w:rsid w:val="457B7A6B"/>
    <w:rsid w:val="469D4977"/>
    <w:rsid w:val="46AE0EAE"/>
    <w:rsid w:val="46B3028B"/>
    <w:rsid w:val="479F062A"/>
    <w:rsid w:val="47D475AF"/>
    <w:rsid w:val="482429DC"/>
    <w:rsid w:val="48FD1AAC"/>
    <w:rsid w:val="49204A7B"/>
    <w:rsid w:val="4A0D3F3A"/>
    <w:rsid w:val="4AB318AC"/>
    <w:rsid w:val="4B2732C6"/>
    <w:rsid w:val="4C337470"/>
    <w:rsid w:val="4C567477"/>
    <w:rsid w:val="4C6B3C12"/>
    <w:rsid w:val="4D5A6798"/>
    <w:rsid w:val="4D9218E1"/>
    <w:rsid w:val="4E884CAB"/>
    <w:rsid w:val="4ED708FC"/>
    <w:rsid w:val="4FCB1DB2"/>
    <w:rsid w:val="51AA0CB7"/>
    <w:rsid w:val="53B743B6"/>
    <w:rsid w:val="5506558A"/>
    <w:rsid w:val="555C27B5"/>
    <w:rsid w:val="55980885"/>
    <w:rsid w:val="55B14544"/>
    <w:rsid w:val="561930D9"/>
    <w:rsid w:val="567275BE"/>
    <w:rsid w:val="57D72232"/>
    <w:rsid w:val="587C624B"/>
    <w:rsid w:val="5B85349C"/>
    <w:rsid w:val="5B994669"/>
    <w:rsid w:val="5BF2290A"/>
    <w:rsid w:val="5BF96B1A"/>
    <w:rsid w:val="5C411DD2"/>
    <w:rsid w:val="5D066D29"/>
    <w:rsid w:val="5DF8293A"/>
    <w:rsid w:val="5EB366A7"/>
    <w:rsid w:val="5F2B5FC0"/>
    <w:rsid w:val="5F3B1A23"/>
    <w:rsid w:val="602F76F0"/>
    <w:rsid w:val="61C12DE2"/>
    <w:rsid w:val="63257780"/>
    <w:rsid w:val="63773ECD"/>
    <w:rsid w:val="646B2C38"/>
    <w:rsid w:val="64F658D5"/>
    <w:rsid w:val="65D4762D"/>
    <w:rsid w:val="662E4882"/>
    <w:rsid w:val="66546D57"/>
    <w:rsid w:val="665F7AD8"/>
    <w:rsid w:val="66E05CD6"/>
    <w:rsid w:val="676C700D"/>
    <w:rsid w:val="67963432"/>
    <w:rsid w:val="67DB7E66"/>
    <w:rsid w:val="68B741B8"/>
    <w:rsid w:val="690643FC"/>
    <w:rsid w:val="69F051D4"/>
    <w:rsid w:val="6AE72CE6"/>
    <w:rsid w:val="6B061E08"/>
    <w:rsid w:val="6B2E1ABE"/>
    <w:rsid w:val="6B554263"/>
    <w:rsid w:val="6C072893"/>
    <w:rsid w:val="6D647255"/>
    <w:rsid w:val="6E4F2B8C"/>
    <w:rsid w:val="6E7C29D5"/>
    <w:rsid w:val="6ED65063"/>
    <w:rsid w:val="6F530905"/>
    <w:rsid w:val="70500A71"/>
    <w:rsid w:val="711B723B"/>
    <w:rsid w:val="71E12FF6"/>
    <w:rsid w:val="72672266"/>
    <w:rsid w:val="72C70B09"/>
    <w:rsid w:val="72FE3595"/>
    <w:rsid w:val="73E94A8B"/>
    <w:rsid w:val="746F4EA7"/>
    <w:rsid w:val="750379B1"/>
    <w:rsid w:val="754F67ED"/>
    <w:rsid w:val="766C628A"/>
    <w:rsid w:val="77AB311E"/>
    <w:rsid w:val="786B08D3"/>
    <w:rsid w:val="787024E3"/>
    <w:rsid w:val="78BD00C7"/>
    <w:rsid w:val="79AC72A7"/>
    <w:rsid w:val="7A215A5A"/>
    <w:rsid w:val="7AA921BC"/>
    <w:rsid w:val="7B03233B"/>
    <w:rsid w:val="7B0705ED"/>
    <w:rsid w:val="7B8063CB"/>
    <w:rsid w:val="7BDF773E"/>
    <w:rsid w:val="7C8C3918"/>
    <w:rsid w:val="7E3D0C67"/>
    <w:rsid w:val="7F29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adjustRightInd w:val="0"/>
      <w:snapToGrid w:val="0"/>
      <w:spacing w:line="360" w:lineRule="auto"/>
      <w:jc w:val="center"/>
      <w:outlineLvl w:val="0"/>
    </w:pPr>
    <w:rPr>
      <w:rFonts w:eastAsia="楷体"/>
      <w:b/>
      <w:bCs/>
      <w:kern w:val="44"/>
      <w:sz w:val="36"/>
      <w:szCs w:val="44"/>
    </w:rPr>
  </w:style>
  <w:style w:type="paragraph" w:styleId="3">
    <w:name w:val="heading 2"/>
    <w:basedOn w:val="1"/>
    <w:next w:val="1"/>
    <w:link w:val="51"/>
    <w:qFormat/>
    <w:uiPriority w:val="0"/>
    <w:pPr>
      <w:keepNext/>
      <w:keepLines/>
      <w:adjustRightInd w:val="0"/>
      <w:snapToGrid w:val="0"/>
      <w:jc w:val="center"/>
      <w:outlineLvl w:val="1"/>
    </w:pPr>
    <w:rPr>
      <w:rFonts w:ascii="Arial" w:hAnsi="Arial" w:eastAsia="楷体"/>
      <w:b/>
      <w:bCs/>
      <w:sz w:val="24"/>
      <w:szCs w:val="32"/>
    </w:rPr>
  </w:style>
  <w:style w:type="paragraph" w:styleId="4">
    <w:name w:val="heading 3"/>
    <w:basedOn w:val="1"/>
    <w:next w:val="1"/>
    <w:link w:val="52"/>
    <w:qFormat/>
    <w:uiPriority w:val="0"/>
    <w:pPr>
      <w:keepNext/>
      <w:keepLines/>
      <w:spacing w:before="260" w:after="260" w:line="413" w:lineRule="auto"/>
      <w:outlineLvl w:val="2"/>
    </w:pPr>
    <w:rPr>
      <w:b/>
      <w:sz w:val="32"/>
      <w:szCs w:val="20"/>
    </w:rPr>
  </w:style>
  <w:style w:type="paragraph" w:styleId="5">
    <w:name w:val="heading 4"/>
    <w:basedOn w:val="1"/>
    <w:next w:val="1"/>
    <w:link w:val="53"/>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4"/>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5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56"/>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5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5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qFormat/>
    <w:uiPriority w:val="35"/>
    <w:pPr>
      <w:spacing w:before="120" w:after="120"/>
    </w:pPr>
    <w:rPr>
      <w:b/>
    </w:rPr>
  </w:style>
  <w:style w:type="paragraph" w:styleId="13">
    <w:name w:val="Document Map"/>
    <w:basedOn w:val="1"/>
    <w:link w:val="71"/>
    <w:qFormat/>
    <w:uiPriority w:val="99"/>
    <w:pPr>
      <w:shd w:val="clear" w:color="auto" w:fill="000080"/>
    </w:pPr>
  </w:style>
  <w:style w:type="paragraph" w:styleId="14">
    <w:name w:val="annotation text"/>
    <w:basedOn w:val="1"/>
    <w:link w:val="69"/>
    <w:unhideWhenUsed/>
    <w:qFormat/>
    <w:uiPriority w:val="99"/>
  </w:style>
  <w:style w:type="paragraph" w:styleId="15">
    <w:name w:val="Salutation"/>
    <w:basedOn w:val="1"/>
    <w:next w:val="1"/>
    <w:link w:val="169"/>
    <w:qFormat/>
    <w:uiPriority w:val="0"/>
    <w:rPr>
      <w:szCs w:val="20"/>
    </w:rPr>
  </w:style>
  <w:style w:type="paragraph" w:styleId="16">
    <w:name w:val="Body Text 3"/>
    <w:basedOn w:val="1"/>
    <w:link w:val="266"/>
    <w:semiHidden/>
    <w:unhideWhenUsed/>
    <w:qFormat/>
    <w:uiPriority w:val="99"/>
    <w:pPr>
      <w:spacing w:after="120"/>
    </w:pPr>
    <w:rPr>
      <w:sz w:val="16"/>
      <w:szCs w:val="16"/>
    </w:rPr>
  </w:style>
  <w:style w:type="paragraph" w:styleId="17">
    <w:name w:val="List Bullet 3"/>
    <w:basedOn w:val="1"/>
    <w:qFormat/>
    <w:uiPriority w:val="0"/>
    <w:pPr>
      <w:tabs>
        <w:tab w:val="left" w:pos="720"/>
      </w:tabs>
      <w:ind w:left="720" w:hanging="720"/>
      <w:outlineLvl w:val="0"/>
    </w:pPr>
    <w:rPr>
      <w:color w:val="0000FF"/>
      <w:sz w:val="24"/>
      <w:szCs w:val="20"/>
    </w:rPr>
  </w:style>
  <w:style w:type="paragraph" w:styleId="18">
    <w:name w:val="Body Text"/>
    <w:basedOn w:val="1"/>
    <w:link w:val="72"/>
    <w:qFormat/>
    <w:uiPriority w:val="0"/>
    <w:pPr>
      <w:spacing w:after="120"/>
    </w:pPr>
  </w:style>
  <w:style w:type="paragraph" w:styleId="19">
    <w:name w:val="Body Text Indent"/>
    <w:basedOn w:val="1"/>
    <w:link w:val="74"/>
    <w:qFormat/>
    <w:uiPriority w:val="0"/>
    <w:pPr>
      <w:autoSpaceDE w:val="0"/>
      <w:autoSpaceDN w:val="0"/>
      <w:adjustRightInd w:val="0"/>
      <w:spacing w:line="460" w:lineRule="exact"/>
      <w:ind w:firstLine="570"/>
    </w:pPr>
    <w:rPr>
      <w:rFonts w:ascii="宋体"/>
      <w:kern w:val="0"/>
      <w:sz w:val="24"/>
      <w:szCs w:val="20"/>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75"/>
    <w:qFormat/>
    <w:uiPriority w:val="99"/>
    <w:rPr>
      <w:rFonts w:ascii="宋体" w:hAnsi="Courier New"/>
      <w:sz w:val="19"/>
      <w:szCs w:val="20"/>
    </w:rPr>
  </w:style>
  <w:style w:type="paragraph" w:styleId="23">
    <w:name w:val="Date"/>
    <w:basedOn w:val="1"/>
    <w:next w:val="1"/>
    <w:link w:val="76"/>
    <w:qFormat/>
    <w:uiPriority w:val="99"/>
    <w:pPr>
      <w:autoSpaceDE w:val="0"/>
      <w:autoSpaceDN w:val="0"/>
      <w:adjustRightInd w:val="0"/>
    </w:pPr>
    <w:rPr>
      <w:rFonts w:ascii="宋体"/>
      <w:kern w:val="0"/>
      <w:sz w:val="28"/>
      <w:szCs w:val="20"/>
    </w:rPr>
  </w:style>
  <w:style w:type="paragraph" w:styleId="24">
    <w:name w:val="Body Text Indent 2"/>
    <w:basedOn w:val="1"/>
    <w:link w:val="77"/>
    <w:qFormat/>
    <w:uiPriority w:val="0"/>
    <w:pPr>
      <w:spacing w:line="600" w:lineRule="atLeast"/>
      <w:ind w:left="241" w:leftChars="241" w:firstLine="647" w:firstLineChars="231"/>
    </w:pPr>
    <w:rPr>
      <w:sz w:val="28"/>
      <w:szCs w:val="20"/>
    </w:rPr>
  </w:style>
  <w:style w:type="paragraph" w:styleId="25">
    <w:name w:val="Balloon Text"/>
    <w:basedOn w:val="1"/>
    <w:link w:val="79"/>
    <w:qFormat/>
    <w:uiPriority w:val="99"/>
    <w:rPr>
      <w:sz w:val="18"/>
      <w:szCs w:val="18"/>
    </w:rPr>
  </w:style>
  <w:style w:type="paragraph" w:styleId="26">
    <w:name w:val="footer"/>
    <w:basedOn w:val="1"/>
    <w:link w:val="60"/>
    <w:unhideWhenUsed/>
    <w:qFormat/>
    <w:uiPriority w:val="0"/>
    <w:pPr>
      <w:tabs>
        <w:tab w:val="center" w:pos="4153"/>
        <w:tab w:val="right" w:pos="8306"/>
      </w:tabs>
      <w:snapToGrid w:val="0"/>
    </w:pPr>
    <w:rPr>
      <w:sz w:val="18"/>
      <w:szCs w:val="18"/>
    </w:rPr>
  </w:style>
  <w:style w:type="paragraph" w:styleId="27">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302"/>
      </w:tabs>
    </w:pPr>
  </w:style>
  <w:style w:type="paragraph" w:styleId="29">
    <w:name w:val="footnote text"/>
    <w:basedOn w:val="1"/>
    <w:link w:val="82"/>
    <w:qFormat/>
    <w:uiPriority w:val="0"/>
    <w:pPr>
      <w:snapToGrid w:val="0"/>
    </w:pPr>
    <w:rPr>
      <w:sz w:val="18"/>
      <w:szCs w:val="18"/>
    </w:rPr>
  </w:style>
  <w:style w:type="paragraph" w:styleId="30">
    <w:name w:val="Body Text Indent 3"/>
    <w:basedOn w:val="1"/>
    <w:link w:val="83"/>
    <w:qFormat/>
    <w:uiPriority w:val="0"/>
    <w:pPr>
      <w:spacing w:line="360" w:lineRule="auto"/>
      <w:ind w:right="67" w:firstLine="420"/>
    </w:pPr>
    <w:rPr>
      <w:color w:val="FF0000"/>
      <w:sz w:val="24"/>
    </w:rPr>
  </w:style>
  <w:style w:type="paragraph" w:styleId="31">
    <w:name w:val="toc 2"/>
    <w:basedOn w:val="1"/>
    <w:next w:val="1"/>
    <w:qFormat/>
    <w:uiPriority w:val="39"/>
    <w:pPr>
      <w:ind w:left="420" w:leftChars="200"/>
    </w:pPr>
  </w:style>
  <w:style w:type="paragraph" w:styleId="32">
    <w:name w:val="Body Text 2"/>
    <w:basedOn w:val="1"/>
    <w:link w:val="191"/>
    <w:semiHidden/>
    <w:qFormat/>
    <w:uiPriority w:val="0"/>
    <w:pPr>
      <w:tabs>
        <w:tab w:val="left" w:pos="6742"/>
        <w:tab w:val="left" w:pos="7234"/>
        <w:tab w:val="left" w:leader="hyphen" w:pos="8431"/>
      </w:tabs>
      <w:spacing w:before="60" w:after="60"/>
    </w:pPr>
    <w:rPr>
      <w:i/>
      <w:kern w:val="0"/>
      <w:sz w:val="24"/>
      <w:szCs w:val="20"/>
      <w:lang w:val="it-IT"/>
    </w:rPr>
  </w:style>
  <w:style w:type="paragraph" w:styleId="33">
    <w:name w:val="HTML Preformatted"/>
    <w:basedOn w:val="1"/>
    <w:link w:val="17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34">
    <w:name w:val="Normal (Web)"/>
    <w:basedOn w:val="1"/>
    <w:qFormat/>
    <w:uiPriority w:val="99"/>
    <w:pPr>
      <w:spacing w:before="100" w:beforeAutospacing="1" w:after="100" w:afterAutospacing="1"/>
    </w:pPr>
    <w:rPr>
      <w:rFonts w:ascii="Arial Unicode MS" w:hAnsi="Arial Unicode MS" w:eastAsia="Arial Unicode MS" w:cs="Arial Unicode MS"/>
      <w:color w:val="000000"/>
      <w:kern w:val="0"/>
      <w:sz w:val="24"/>
    </w:rPr>
  </w:style>
  <w:style w:type="paragraph" w:styleId="35">
    <w:name w:val="Title"/>
    <w:basedOn w:val="1"/>
    <w:link w:val="222"/>
    <w:qFormat/>
    <w:uiPriority w:val="0"/>
    <w:pPr>
      <w:tabs>
        <w:tab w:val="left" w:pos="360"/>
      </w:tabs>
      <w:spacing w:before="240" w:after="60"/>
      <w:ind w:left="360" w:hanging="360"/>
      <w:jc w:val="center"/>
      <w:outlineLvl w:val="0"/>
    </w:pPr>
    <w:rPr>
      <w:rFonts w:ascii="Arial" w:hAnsi="Arial" w:cs="Arial"/>
      <w:b/>
      <w:bCs/>
      <w:sz w:val="32"/>
      <w:szCs w:val="32"/>
    </w:rPr>
  </w:style>
  <w:style w:type="paragraph" w:styleId="36">
    <w:name w:val="annotation subject"/>
    <w:basedOn w:val="14"/>
    <w:next w:val="14"/>
    <w:link w:val="70"/>
    <w:qFormat/>
    <w:uiPriority w:val="99"/>
    <w:rPr>
      <w:b/>
      <w:bCs/>
    </w:rPr>
  </w:style>
  <w:style w:type="paragraph" w:styleId="37">
    <w:name w:val="Body Text First Indent"/>
    <w:basedOn w:val="18"/>
    <w:link w:val="193"/>
    <w:qFormat/>
    <w:uiPriority w:val="0"/>
    <w:pPr>
      <w:ind w:firstLine="420" w:firstLineChars="100"/>
    </w:pPr>
  </w:style>
  <w:style w:type="paragraph" w:styleId="38">
    <w:name w:val="Body Text First Indent 2"/>
    <w:basedOn w:val="19"/>
    <w:link w:val="80"/>
    <w:qFormat/>
    <w:uiPriority w:val="0"/>
    <w:pPr>
      <w:widowControl w:val="0"/>
      <w:autoSpaceDE/>
      <w:autoSpaceDN/>
      <w:adjustRightInd/>
      <w:spacing w:after="120" w:line="360" w:lineRule="auto"/>
      <w:ind w:left="420" w:firstLine="210"/>
      <w:jc w:val="both"/>
    </w:pPr>
    <w:rPr>
      <w:rFonts w:ascii="Times New Roman"/>
      <w:kern w:val="2"/>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Emphasis"/>
    <w:qFormat/>
    <w:uiPriority w:val="20"/>
    <w:rPr>
      <w:color w:val="CC0000"/>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character" w:styleId="48">
    <w:name w:val="HTML Cite"/>
    <w:qFormat/>
    <w:uiPriority w:val="0"/>
    <w:rPr>
      <w:color w:val="008000"/>
    </w:rPr>
  </w:style>
  <w:style w:type="character" w:styleId="49">
    <w:name w:val="footnote reference"/>
    <w:qFormat/>
    <w:uiPriority w:val="0"/>
    <w:rPr>
      <w:vertAlign w:val="superscript"/>
    </w:rPr>
  </w:style>
  <w:style w:type="character" w:customStyle="1" w:styleId="50">
    <w:name w:val="标题 1 Char"/>
    <w:basedOn w:val="41"/>
    <w:link w:val="2"/>
    <w:qFormat/>
    <w:uiPriority w:val="0"/>
    <w:rPr>
      <w:rFonts w:ascii="Times New Roman" w:hAnsi="Times New Roman" w:eastAsia="楷体" w:cs="Times New Roman"/>
      <w:b/>
      <w:bCs/>
      <w:kern w:val="44"/>
      <w:sz w:val="36"/>
      <w:szCs w:val="44"/>
    </w:rPr>
  </w:style>
  <w:style w:type="character" w:customStyle="1" w:styleId="51">
    <w:name w:val="标题 2 Char2"/>
    <w:link w:val="3"/>
    <w:qFormat/>
    <w:uiPriority w:val="0"/>
    <w:rPr>
      <w:rFonts w:ascii="Arial" w:hAnsi="Arial" w:eastAsia="楷体" w:cs="Times New Roman"/>
      <w:b/>
      <w:bCs/>
      <w:sz w:val="24"/>
      <w:szCs w:val="32"/>
    </w:rPr>
  </w:style>
  <w:style w:type="character" w:customStyle="1" w:styleId="52">
    <w:name w:val="标题 3 Char1"/>
    <w:link w:val="4"/>
    <w:qFormat/>
    <w:uiPriority w:val="0"/>
    <w:rPr>
      <w:rFonts w:ascii="Times New Roman" w:hAnsi="Times New Roman" w:eastAsia="宋体" w:cs="Times New Roman"/>
      <w:b/>
      <w:sz w:val="32"/>
      <w:szCs w:val="20"/>
    </w:rPr>
  </w:style>
  <w:style w:type="character" w:customStyle="1" w:styleId="53">
    <w:name w:val="标题 4 Char1"/>
    <w:link w:val="5"/>
    <w:qFormat/>
    <w:uiPriority w:val="9"/>
    <w:rPr>
      <w:rFonts w:ascii="Arial" w:hAnsi="Arial" w:eastAsia="黑体" w:cs="Times New Roman"/>
      <w:b/>
      <w:kern w:val="0"/>
      <w:sz w:val="28"/>
      <w:szCs w:val="20"/>
    </w:rPr>
  </w:style>
  <w:style w:type="character" w:customStyle="1" w:styleId="54">
    <w:name w:val="标题 5 Char1"/>
    <w:link w:val="6"/>
    <w:qFormat/>
    <w:uiPriority w:val="0"/>
    <w:rPr>
      <w:rFonts w:ascii="Times New Roman" w:hAnsi="Times New Roman" w:eastAsia="宋体" w:cs="Times New Roman"/>
      <w:b/>
      <w:kern w:val="0"/>
      <w:sz w:val="28"/>
      <w:szCs w:val="20"/>
    </w:rPr>
  </w:style>
  <w:style w:type="character" w:customStyle="1" w:styleId="55">
    <w:name w:val="标题 6 Char1"/>
    <w:link w:val="7"/>
    <w:qFormat/>
    <w:uiPriority w:val="0"/>
    <w:rPr>
      <w:rFonts w:ascii="Arial" w:hAnsi="Arial" w:eastAsia="黑体" w:cs="Times New Roman"/>
      <w:b/>
      <w:kern w:val="0"/>
      <w:sz w:val="24"/>
      <w:szCs w:val="20"/>
    </w:rPr>
  </w:style>
  <w:style w:type="character" w:customStyle="1" w:styleId="56">
    <w:name w:val="标题 7 Char1"/>
    <w:link w:val="8"/>
    <w:qFormat/>
    <w:uiPriority w:val="0"/>
    <w:rPr>
      <w:rFonts w:ascii="Times New Roman" w:hAnsi="Times New Roman" w:eastAsia="宋体" w:cs="Times New Roman"/>
      <w:b/>
      <w:kern w:val="0"/>
      <w:sz w:val="24"/>
      <w:szCs w:val="20"/>
    </w:rPr>
  </w:style>
  <w:style w:type="character" w:customStyle="1" w:styleId="57">
    <w:name w:val="标题 8 Char1"/>
    <w:link w:val="9"/>
    <w:qFormat/>
    <w:uiPriority w:val="0"/>
    <w:rPr>
      <w:rFonts w:ascii="Arial" w:hAnsi="Arial" w:eastAsia="黑体" w:cs="Times New Roman"/>
      <w:kern w:val="0"/>
      <w:sz w:val="24"/>
      <w:szCs w:val="20"/>
    </w:rPr>
  </w:style>
  <w:style w:type="character" w:customStyle="1" w:styleId="58">
    <w:name w:val="标题 9 Char1"/>
    <w:link w:val="10"/>
    <w:qFormat/>
    <w:uiPriority w:val="0"/>
    <w:rPr>
      <w:rFonts w:ascii="Arial" w:hAnsi="Arial" w:eastAsia="黑体" w:cs="Times New Roman"/>
      <w:kern w:val="0"/>
      <w:szCs w:val="20"/>
    </w:rPr>
  </w:style>
  <w:style w:type="character" w:customStyle="1" w:styleId="59">
    <w:name w:val="页眉 Char"/>
    <w:basedOn w:val="41"/>
    <w:link w:val="27"/>
    <w:qFormat/>
    <w:uiPriority w:val="0"/>
    <w:rPr>
      <w:sz w:val="18"/>
      <w:szCs w:val="18"/>
    </w:rPr>
  </w:style>
  <w:style w:type="character" w:customStyle="1" w:styleId="60">
    <w:name w:val="页脚 Char"/>
    <w:basedOn w:val="41"/>
    <w:link w:val="26"/>
    <w:qFormat/>
    <w:uiPriority w:val="0"/>
    <w:rPr>
      <w:sz w:val="18"/>
      <w:szCs w:val="18"/>
    </w:rPr>
  </w:style>
  <w:style w:type="character" w:customStyle="1" w:styleId="61">
    <w:name w:val="标题 2 Char"/>
    <w:basedOn w:val="41"/>
    <w:qFormat/>
    <w:uiPriority w:val="9"/>
    <w:rPr>
      <w:rFonts w:asciiTheme="majorHAnsi" w:hAnsiTheme="majorHAnsi" w:eastAsiaTheme="majorEastAsia" w:cstheme="majorBidi"/>
      <w:b/>
      <w:bCs/>
      <w:sz w:val="32"/>
      <w:szCs w:val="32"/>
    </w:rPr>
  </w:style>
  <w:style w:type="character" w:customStyle="1" w:styleId="62">
    <w:name w:val="标题 3 Char"/>
    <w:basedOn w:val="41"/>
    <w:qFormat/>
    <w:uiPriority w:val="9"/>
    <w:rPr>
      <w:rFonts w:ascii="Times New Roman" w:hAnsi="Times New Roman" w:eastAsia="宋体" w:cs="Times New Roman"/>
      <w:b/>
      <w:bCs/>
      <w:sz w:val="32"/>
      <w:szCs w:val="32"/>
    </w:rPr>
  </w:style>
  <w:style w:type="character" w:customStyle="1" w:styleId="63">
    <w:name w:val="标题 4 Char"/>
    <w:basedOn w:val="41"/>
    <w:semiHidden/>
    <w:qFormat/>
    <w:uiPriority w:val="9"/>
    <w:rPr>
      <w:rFonts w:asciiTheme="majorHAnsi" w:hAnsiTheme="majorHAnsi" w:eastAsiaTheme="majorEastAsia" w:cstheme="majorBidi"/>
      <w:b/>
      <w:bCs/>
      <w:sz w:val="28"/>
      <w:szCs w:val="28"/>
    </w:rPr>
  </w:style>
  <w:style w:type="character" w:customStyle="1" w:styleId="64">
    <w:name w:val="标题 5 Char"/>
    <w:basedOn w:val="41"/>
    <w:semiHidden/>
    <w:qFormat/>
    <w:uiPriority w:val="9"/>
    <w:rPr>
      <w:rFonts w:ascii="Times New Roman" w:hAnsi="Times New Roman" w:eastAsia="宋体" w:cs="Times New Roman"/>
      <w:b/>
      <w:bCs/>
      <w:sz w:val="28"/>
      <w:szCs w:val="28"/>
    </w:rPr>
  </w:style>
  <w:style w:type="character" w:customStyle="1" w:styleId="65">
    <w:name w:val="标题 6 Char"/>
    <w:basedOn w:val="41"/>
    <w:semiHidden/>
    <w:qFormat/>
    <w:uiPriority w:val="9"/>
    <w:rPr>
      <w:rFonts w:asciiTheme="majorHAnsi" w:hAnsiTheme="majorHAnsi" w:eastAsiaTheme="majorEastAsia" w:cstheme="majorBidi"/>
      <w:b/>
      <w:bCs/>
      <w:sz w:val="24"/>
      <w:szCs w:val="24"/>
    </w:rPr>
  </w:style>
  <w:style w:type="character" w:customStyle="1" w:styleId="66">
    <w:name w:val="标题 7 Char"/>
    <w:basedOn w:val="41"/>
    <w:semiHidden/>
    <w:qFormat/>
    <w:uiPriority w:val="9"/>
    <w:rPr>
      <w:rFonts w:ascii="Times New Roman" w:hAnsi="Times New Roman" w:eastAsia="宋体" w:cs="Times New Roman"/>
      <w:b/>
      <w:bCs/>
      <w:sz w:val="24"/>
      <w:szCs w:val="24"/>
    </w:rPr>
  </w:style>
  <w:style w:type="character" w:customStyle="1" w:styleId="67">
    <w:name w:val="标题 8 Char"/>
    <w:basedOn w:val="41"/>
    <w:semiHidden/>
    <w:qFormat/>
    <w:uiPriority w:val="9"/>
    <w:rPr>
      <w:rFonts w:asciiTheme="majorHAnsi" w:hAnsiTheme="majorHAnsi" w:eastAsiaTheme="majorEastAsia" w:cstheme="majorBidi"/>
      <w:sz w:val="24"/>
      <w:szCs w:val="24"/>
    </w:rPr>
  </w:style>
  <w:style w:type="character" w:customStyle="1" w:styleId="68">
    <w:name w:val="标题 9 Char"/>
    <w:basedOn w:val="41"/>
    <w:semiHidden/>
    <w:qFormat/>
    <w:uiPriority w:val="9"/>
    <w:rPr>
      <w:rFonts w:asciiTheme="majorHAnsi" w:hAnsiTheme="majorHAnsi" w:eastAsiaTheme="majorEastAsia" w:cstheme="majorBidi"/>
      <w:szCs w:val="21"/>
    </w:rPr>
  </w:style>
  <w:style w:type="character" w:customStyle="1" w:styleId="69">
    <w:name w:val="批注文字 Char"/>
    <w:basedOn w:val="41"/>
    <w:link w:val="14"/>
    <w:qFormat/>
    <w:uiPriority w:val="99"/>
    <w:rPr>
      <w:rFonts w:ascii="Times New Roman" w:hAnsi="Times New Roman" w:eastAsia="宋体" w:cs="Times New Roman"/>
      <w:szCs w:val="24"/>
    </w:rPr>
  </w:style>
  <w:style w:type="character" w:customStyle="1" w:styleId="70">
    <w:name w:val="批注主题 Char"/>
    <w:basedOn w:val="69"/>
    <w:link w:val="36"/>
    <w:qFormat/>
    <w:uiPriority w:val="99"/>
    <w:rPr>
      <w:rFonts w:ascii="Times New Roman" w:hAnsi="Times New Roman" w:eastAsia="宋体" w:cs="Times New Roman"/>
      <w:b/>
      <w:bCs/>
      <w:szCs w:val="24"/>
    </w:rPr>
  </w:style>
  <w:style w:type="character" w:customStyle="1" w:styleId="71">
    <w:name w:val="文档结构图 Char"/>
    <w:basedOn w:val="41"/>
    <w:link w:val="13"/>
    <w:qFormat/>
    <w:uiPriority w:val="99"/>
    <w:rPr>
      <w:rFonts w:ascii="Times New Roman" w:hAnsi="Times New Roman" w:eastAsia="宋体" w:cs="Times New Roman"/>
      <w:szCs w:val="24"/>
      <w:shd w:val="clear" w:color="auto" w:fill="000080"/>
    </w:rPr>
  </w:style>
  <w:style w:type="character" w:customStyle="1" w:styleId="72">
    <w:name w:val="正文文本 Char2"/>
    <w:basedOn w:val="41"/>
    <w:link w:val="18"/>
    <w:qFormat/>
    <w:uiPriority w:val="0"/>
    <w:rPr>
      <w:rFonts w:ascii="Times New Roman" w:hAnsi="Times New Roman" w:eastAsia="宋体" w:cs="Times New Roman"/>
      <w:szCs w:val="24"/>
    </w:rPr>
  </w:style>
  <w:style w:type="character" w:customStyle="1" w:styleId="73">
    <w:name w:val="正文文本 Char"/>
    <w:basedOn w:val="41"/>
    <w:semiHidden/>
    <w:qFormat/>
    <w:uiPriority w:val="99"/>
    <w:rPr>
      <w:rFonts w:ascii="Times New Roman" w:hAnsi="Times New Roman" w:eastAsia="宋体" w:cs="Times New Roman"/>
      <w:szCs w:val="24"/>
    </w:rPr>
  </w:style>
  <w:style w:type="character" w:customStyle="1" w:styleId="74">
    <w:name w:val="正文文本缩进 Char"/>
    <w:basedOn w:val="41"/>
    <w:link w:val="19"/>
    <w:qFormat/>
    <w:uiPriority w:val="0"/>
    <w:rPr>
      <w:rFonts w:ascii="宋体" w:hAnsi="Times New Roman" w:eastAsia="宋体" w:cs="Times New Roman"/>
      <w:kern w:val="0"/>
      <w:sz w:val="24"/>
      <w:szCs w:val="20"/>
    </w:rPr>
  </w:style>
  <w:style w:type="character" w:customStyle="1" w:styleId="75">
    <w:name w:val="纯文本 Char"/>
    <w:basedOn w:val="41"/>
    <w:link w:val="22"/>
    <w:qFormat/>
    <w:uiPriority w:val="99"/>
    <w:rPr>
      <w:rFonts w:ascii="宋体" w:hAnsi="Courier New" w:eastAsia="宋体" w:cs="Times New Roman"/>
      <w:sz w:val="19"/>
      <w:szCs w:val="20"/>
    </w:rPr>
  </w:style>
  <w:style w:type="character" w:customStyle="1" w:styleId="76">
    <w:name w:val="日期 Char"/>
    <w:basedOn w:val="41"/>
    <w:link w:val="23"/>
    <w:qFormat/>
    <w:uiPriority w:val="99"/>
    <w:rPr>
      <w:rFonts w:ascii="宋体" w:hAnsi="Times New Roman" w:eastAsia="宋体" w:cs="Times New Roman"/>
      <w:kern w:val="0"/>
      <w:sz w:val="28"/>
      <w:szCs w:val="20"/>
    </w:rPr>
  </w:style>
  <w:style w:type="character" w:customStyle="1" w:styleId="77">
    <w:name w:val="正文文本缩进 2 Char1"/>
    <w:link w:val="24"/>
    <w:qFormat/>
    <w:uiPriority w:val="0"/>
    <w:rPr>
      <w:rFonts w:ascii="Times New Roman" w:hAnsi="Times New Roman" w:eastAsia="宋体" w:cs="Times New Roman"/>
      <w:sz w:val="28"/>
      <w:szCs w:val="20"/>
    </w:rPr>
  </w:style>
  <w:style w:type="character" w:customStyle="1" w:styleId="78">
    <w:name w:val="正文文本缩进 2 Char"/>
    <w:basedOn w:val="41"/>
    <w:semiHidden/>
    <w:qFormat/>
    <w:uiPriority w:val="99"/>
    <w:rPr>
      <w:rFonts w:ascii="Times New Roman" w:hAnsi="Times New Roman" w:eastAsia="宋体" w:cs="Times New Roman"/>
      <w:szCs w:val="24"/>
    </w:rPr>
  </w:style>
  <w:style w:type="character" w:customStyle="1" w:styleId="79">
    <w:name w:val="批注框文本 Char"/>
    <w:basedOn w:val="41"/>
    <w:link w:val="25"/>
    <w:qFormat/>
    <w:uiPriority w:val="99"/>
    <w:rPr>
      <w:rFonts w:ascii="Times New Roman" w:hAnsi="Times New Roman" w:eastAsia="宋体" w:cs="Times New Roman"/>
      <w:sz w:val="18"/>
      <w:szCs w:val="18"/>
    </w:rPr>
  </w:style>
  <w:style w:type="character" w:customStyle="1" w:styleId="80">
    <w:name w:val="正文首行缩进 2 Char1"/>
    <w:link w:val="38"/>
    <w:qFormat/>
    <w:uiPriority w:val="0"/>
    <w:rPr>
      <w:rFonts w:ascii="Times New Roman" w:hAnsi="Times New Roman" w:eastAsia="宋体" w:cs="Times New Roman"/>
      <w:sz w:val="24"/>
      <w:szCs w:val="20"/>
    </w:rPr>
  </w:style>
  <w:style w:type="character" w:customStyle="1" w:styleId="81">
    <w:name w:val="正文首行缩进 2 Char"/>
    <w:basedOn w:val="74"/>
    <w:semiHidden/>
    <w:qFormat/>
    <w:uiPriority w:val="99"/>
    <w:rPr>
      <w:rFonts w:ascii="宋体" w:hAnsi="Times New Roman" w:eastAsia="宋体" w:cs="Times New Roman"/>
      <w:kern w:val="0"/>
      <w:sz w:val="24"/>
      <w:szCs w:val="20"/>
    </w:rPr>
  </w:style>
  <w:style w:type="character" w:customStyle="1" w:styleId="82">
    <w:name w:val="脚注文本 Char"/>
    <w:basedOn w:val="41"/>
    <w:link w:val="29"/>
    <w:qFormat/>
    <w:uiPriority w:val="0"/>
    <w:rPr>
      <w:rFonts w:ascii="Times New Roman" w:hAnsi="Times New Roman" w:eastAsia="宋体" w:cs="Times New Roman"/>
      <w:sz w:val="18"/>
      <w:szCs w:val="18"/>
    </w:rPr>
  </w:style>
  <w:style w:type="character" w:customStyle="1" w:styleId="83">
    <w:name w:val="正文文本缩进 3 Char1"/>
    <w:link w:val="30"/>
    <w:qFormat/>
    <w:uiPriority w:val="0"/>
    <w:rPr>
      <w:rFonts w:ascii="Times New Roman" w:hAnsi="Times New Roman" w:eastAsia="宋体" w:cs="Times New Roman"/>
      <w:color w:val="FF0000"/>
      <w:sz w:val="24"/>
      <w:szCs w:val="24"/>
    </w:rPr>
  </w:style>
  <w:style w:type="character" w:customStyle="1" w:styleId="84">
    <w:name w:val="正文文本缩进 3 Char"/>
    <w:basedOn w:val="41"/>
    <w:semiHidden/>
    <w:qFormat/>
    <w:uiPriority w:val="99"/>
    <w:rPr>
      <w:rFonts w:ascii="Times New Roman" w:hAnsi="Times New Roman" w:eastAsia="宋体" w:cs="Times New Roman"/>
      <w:sz w:val="16"/>
      <w:szCs w:val="16"/>
    </w:rPr>
  </w:style>
  <w:style w:type="character" w:customStyle="1" w:styleId="85">
    <w:name w:val="ca-4"/>
    <w:basedOn w:val="41"/>
    <w:qFormat/>
    <w:uiPriority w:val="0"/>
  </w:style>
  <w:style w:type="character" w:customStyle="1" w:styleId="86">
    <w:name w:val="aa"/>
    <w:basedOn w:val="41"/>
    <w:qFormat/>
    <w:uiPriority w:val="0"/>
  </w:style>
  <w:style w:type="character" w:customStyle="1" w:styleId="87">
    <w:name w:val="ca-2"/>
    <w:basedOn w:val="41"/>
    <w:qFormat/>
    <w:uiPriority w:val="0"/>
  </w:style>
  <w:style w:type="character" w:customStyle="1" w:styleId="88">
    <w:name w:val="bu1"/>
    <w:qFormat/>
    <w:uiPriority w:val="0"/>
    <w:rPr>
      <w:sz w:val="26"/>
      <w:szCs w:val="26"/>
    </w:rPr>
  </w:style>
  <w:style w:type="paragraph" w:customStyle="1" w:styleId="89">
    <w:name w:val="xl24"/>
    <w:basedOn w:val="1"/>
    <w:qFormat/>
    <w:uiPriority w:val="0"/>
    <w:pPr>
      <w:spacing w:before="100" w:after="100"/>
      <w:jc w:val="center"/>
    </w:pPr>
    <w:rPr>
      <w:rFonts w:ascii="宋体" w:hAnsi="宋体"/>
      <w:kern w:val="0"/>
      <w:sz w:val="24"/>
      <w:szCs w:val="20"/>
    </w:rPr>
  </w:style>
  <w:style w:type="paragraph" w:customStyle="1" w:styleId="90">
    <w:name w:val="正文1"/>
    <w:basedOn w:val="1"/>
    <w:qFormat/>
    <w:uiPriority w:val="0"/>
    <w:pPr>
      <w:spacing w:line="480" w:lineRule="exact"/>
      <w:ind w:firstLine="480" w:firstLineChars="200"/>
    </w:pPr>
    <w:rPr>
      <w:rFonts w:ascii="宋体"/>
      <w:sz w:val="24"/>
      <w:szCs w:val="20"/>
    </w:rPr>
  </w:style>
  <w:style w:type="paragraph" w:customStyle="1" w:styleId="91">
    <w:name w:val="Header Base"/>
    <w:basedOn w:val="18"/>
    <w:qFormat/>
    <w:uiPriority w:val="0"/>
    <w:pPr>
      <w:keepLines/>
      <w:tabs>
        <w:tab w:val="center" w:pos="4320"/>
        <w:tab w:val="right" w:pos="8640"/>
      </w:tabs>
      <w:suppressAutoHyphens/>
      <w:spacing w:after="0" w:line="180" w:lineRule="atLeast"/>
    </w:pPr>
    <w:rPr>
      <w:rFonts w:ascii="Arial" w:hAnsi="Arial" w:eastAsia="微软简楷体"/>
      <w:spacing w:val="-5"/>
      <w:kern w:val="0"/>
      <w:sz w:val="24"/>
      <w:szCs w:val="20"/>
    </w:rPr>
  </w:style>
  <w:style w:type="paragraph" w:customStyle="1" w:styleId="92">
    <w:name w:val="列出段落2"/>
    <w:basedOn w:val="1"/>
    <w:qFormat/>
    <w:uiPriority w:val="0"/>
    <w:pPr>
      <w:ind w:firstLine="420" w:firstLineChars="200"/>
    </w:pPr>
  </w:style>
  <w:style w:type="paragraph" w:customStyle="1" w:styleId="93">
    <w:name w:val="列出段落3"/>
    <w:basedOn w:val="1"/>
    <w:unhideWhenUsed/>
    <w:qFormat/>
    <w:uiPriority w:val="99"/>
    <w:pPr>
      <w:ind w:firstLine="420" w:firstLineChars="200"/>
    </w:pPr>
  </w:style>
  <w:style w:type="paragraph" w:customStyle="1" w:styleId="94">
    <w:name w:val="Char"/>
    <w:basedOn w:val="1"/>
    <w:qFormat/>
    <w:uiPriority w:val="0"/>
  </w:style>
  <w:style w:type="paragraph" w:customStyle="1" w:styleId="95">
    <w:name w:val="列出段落1"/>
    <w:basedOn w:val="1"/>
    <w:qFormat/>
    <w:uiPriority w:val="99"/>
    <w:pPr>
      <w:ind w:firstLine="420" w:firstLineChars="200"/>
    </w:pPr>
  </w:style>
  <w:style w:type="paragraph" w:customStyle="1" w:styleId="96">
    <w:name w:val="样式1"/>
    <w:basedOn w:val="1"/>
    <w:qFormat/>
    <w:uiPriority w:val="0"/>
    <w:pPr>
      <w:tabs>
        <w:tab w:val="left" w:pos="753"/>
      </w:tabs>
    </w:pPr>
    <w:rPr>
      <w:rFonts w:ascii="宋体" w:hAnsi="宋体"/>
      <w:szCs w:val="21"/>
    </w:rPr>
  </w:style>
  <w:style w:type="paragraph" w:customStyle="1" w:styleId="97">
    <w:name w:val="普通 (Web)"/>
    <w:basedOn w:val="1"/>
    <w:qFormat/>
    <w:uiPriority w:val="0"/>
    <w:pPr>
      <w:suppressAutoHyphens/>
      <w:spacing w:before="100" w:after="100"/>
    </w:pPr>
    <w:rPr>
      <w:rFonts w:ascii="Arial Unicode MS" w:hAnsi="Arial Unicode MS" w:eastAsia="Arial Unicode MS" w:cs="Courier New"/>
      <w:color w:val="000000"/>
      <w:kern w:val="1"/>
      <w:sz w:val="24"/>
      <w:szCs w:val="20"/>
      <w:lang w:eastAsia="ar-SA"/>
    </w:rPr>
  </w:style>
  <w:style w:type="paragraph" w:customStyle="1" w:styleId="98">
    <w:name w:val="Char1"/>
    <w:basedOn w:val="1"/>
    <w:qFormat/>
    <w:uiPriority w:val="0"/>
  </w:style>
  <w:style w:type="paragraph" w:customStyle="1" w:styleId="99">
    <w:name w:val="TOC 标题1"/>
    <w:basedOn w:val="2"/>
    <w:next w:val="1"/>
    <w:qFormat/>
    <w:uiPriority w:val="39"/>
    <w:pPr>
      <w:spacing w:before="480" w:line="276" w:lineRule="auto"/>
      <w:jc w:val="left"/>
      <w:outlineLvl w:val="9"/>
    </w:pPr>
    <w:rPr>
      <w:rFonts w:ascii="Cambria" w:hAnsi="Cambria" w:eastAsia="宋体"/>
      <w:color w:val="365F91"/>
      <w:kern w:val="0"/>
      <w:sz w:val="28"/>
      <w:szCs w:val="28"/>
    </w:rPr>
  </w:style>
  <w:style w:type="paragraph" w:customStyle="1" w:styleId="100">
    <w:name w:val="_Style 1"/>
    <w:basedOn w:val="1"/>
    <w:qFormat/>
    <w:uiPriority w:val="34"/>
    <w:pPr>
      <w:ind w:firstLine="420" w:firstLineChars="200"/>
    </w:pPr>
  </w:style>
  <w:style w:type="paragraph" w:customStyle="1" w:styleId="101">
    <w:name w:val="列出段落4"/>
    <w:basedOn w:val="1"/>
    <w:link w:val="102"/>
    <w:unhideWhenUsed/>
    <w:qFormat/>
    <w:uiPriority w:val="34"/>
    <w:pPr>
      <w:ind w:firstLine="420" w:firstLineChars="200"/>
    </w:pPr>
  </w:style>
  <w:style w:type="character" w:customStyle="1" w:styleId="102">
    <w:name w:val="列出段落 Char"/>
    <w:link w:val="101"/>
    <w:qFormat/>
    <w:uiPriority w:val="34"/>
    <w:rPr>
      <w:rFonts w:ascii="Times New Roman" w:hAnsi="Times New Roman" w:eastAsia="宋体" w:cs="Times New Roman"/>
      <w:szCs w:val="24"/>
    </w:rPr>
  </w:style>
  <w:style w:type="character" w:customStyle="1" w:styleId="103">
    <w:name w:val="标题 1 字符"/>
    <w:qFormat/>
    <w:uiPriority w:val="9"/>
    <w:rPr>
      <w:rFonts w:eastAsia="黑体"/>
      <w:bCs/>
      <w:kern w:val="44"/>
      <w:sz w:val="32"/>
      <w:szCs w:val="44"/>
    </w:rPr>
  </w:style>
  <w:style w:type="character" w:customStyle="1" w:styleId="104">
    <w:name w:val="页眉 字符"/>
    <w:qFormat/>
    <w:uiPriority w:val="99"/>
    <w:rPr>
      <w:sz w:val="18"/>
      <w:szCs w:val="18"/>
    </w:rPr>
  </w:style>
  <w:style w:type="character" w:customStyle="1" w:styleId="105">
    <w:name w:val="页脚 字符"/>
    <w:qFormat/>
    <w:uiPriority w:val="99"/>
    <w:rPr>
      <w:sz w:val="18"/>
      <w:szCs w:val="18"/>
    </w:rPr>
  </w:style>
  <w:style w:type="character" w:customStyle="1" w:styleId="106">
    <w:name w:val="批注文字 字符"/>
    <w:basedOn w:val="41"/>
    <w:qFormat/>
    <w:uiPriority w:val="99"/>
  </w:style>
  <w:style w:type="paragraph" w:customStyle="1" w:styleId="107">
    <w:name w:val="Char Char Char1 Char"/>
    <w:basedOn w:val="1"/>
    <w:qFormat/>
    <w:uiPriority w:val="0"/>
    <w:rPr>
      <w:rFonts w:ascii="Tahoma" w:hAnsi="Tahoma"/>
      <w:sz w:val="24"/>
      <w:szCs w:val="20"/>
    </w:rPr>
  </w:style>
  <w:style w:type="paragraph" w:customStyle="1" w:styleId="108">
    <w:name w:val="font5"/>
    <w:basedOn w:val="1"/>
    <w:qFormat/>
    <w:uiPriority w:val="0"/>
    <w:pPr>
      <w:spacing w:before="100" w:beforeAutospacing="1" w:after="100" w:afterAutospacing="1"/>
    </w:pPr>
    <w:rPr>
      <w:rFonts w:ascii="宋体" w:hAnsi="宋体" w:cs="宋体"/>
      <w:kern w:val="0"/>
      <w:sz w:val="18"/>
      <w:szCs w:val="18"/>
    </w:rPr>
  </w:style>
  <w:style w:type="paragraph" w:customStyle="1" w:styleId="109">
    <w:name w:val="font6"/>
    <w:basedOn w:val="1"/>
    <w:qFormat/>
    <w:uiPriority w:val="0"/>
    <w:pPr>
      <w:spacing w:before="100" w:beforeAutospacing="1" w:after="100" w:afterAutospacing="1"/>
    </w:pPr>
    <w:rPr>
      <w:rFonts w:ascii="宋体" w:hAnsi="宋体" w:cs="宋体"/>
      <w:kern w:val="0"/>
      <w:sz w:val="20"/>
      <w:szCs w:val="20"/>
    </w:rPr>
  </w:style>
  <w:style w:type="paragraph" w:customStyle="1" w:styleId="110">
    <w:name w:val="font8"/>
    <w:basedOn w:val="1"/>
    <w:qFormat/>
    <w:uiPriority w:val="0"/>
    <w:pPr>
      <w:spacing w:before="100" w:beforeAutospacing="1" w:after="100" w:afterAutospacing="1"/>
    </w:pPr>
    <w:rPr>
      <w:kern w:val="0"/>
      <w:sz w:val="36"/>
      <w:szCs w:val="36"/>
    </w:rPr>
  </w:style>
  <w:style w:type="paragraph" w:customStyle="1" w:styleId="11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13">
    <w:name w:val="font7"/>
    <w:basedOn w:val="1"/>
    <w:qFormat/>
    <w:uiPriority w:val="0"/>
    <w:pPr>
      <w:spacing w:before="100" w:beforeAutospacing="1" w:after="100" w:afterAutospacing="1"/>
    </w:pPr>
    <w:rPr>
      <w:rFonts w:eastAsia="Arial Unicode MS"/>
      <w:b/>
      <w:bCs/>
      <w:color w:val="000000"/>
      <w:kern w:val="0"/>
      <w:sz w:val="20"/>
      <w:szCs w:val="20"/>
    </w:rPr>
  </w:style>
  <w:style w:type="paragraph" w:customStyle="1" w:styleId="114">
    <w:name w:val="font9"/>
    <w:basedOn w:val="1"/>
    <w:qFormat/>
    <w:uiPriority w:val="0"/>
    <w:pPr>
      <w:spacing w:before="100" w:beforeAutospacing="1" w:after="100" w:afterAutospacing="1"/>
    </w:pPr>
    <w:rPr>
      <w:rFonts w:hint="eastAsia" w:ascii="宋体" w:hAnsi="宋体" w:cs="Arial Unicode MS"/>
      <w:color w:val="000000"/>
      <w:kern w:val="0"/>
      <w:sz w:val="20"/>
      <w:szCs w:val="20"/>
    </w:rPr>
  </w:style>
  <w:style w:type="paragraph" w:customStyle="1" w:styleId="11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1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2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23">
    <w:name w:val="xl35"/>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4">
    <w:name w:val="xl36"/>
    <w:basedOn w:val="1"/>
    <w:qFormat/>
    <w:uiPriority w:val="0"/>
    <w:pP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6"/>
      <w:szCs w:val="16"/>
    </w:rPr>
  </w:style>
  <w:style w:type="paragraph" w:customStyle="1" w:styleId="127">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9">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32">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133">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4">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6">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2"/>
      <w:szCs w:val="22"/>
    </w:rPr>
  </w:style>
  <w:style w:type="paragraph" w:customStyle="1" w:styleId="138">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0">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character" w:customStyle="1" w:styleId="142">
    <w:name w:val="正文文本 Char1"/>
    <w:qFormat/>
    <w:uiPriority w:val="0"/>
    <w:rPr>
      <w:color w:val="FF0000"/>
      <w:kern w:val="2"/>
      <w:sz w:val="21"/>
    </w:rPr>
  </w:style>
  <w:style w:type="paragraph" w:customStyle="1" w:styleId="143">
    <w:name w:val="正文 + 宋体"/>
    <w:basedOn w:val="1"/>
    <w:qFormat/>
    <w:uiPriority w:val="0"/>
    <w:pPr>
      <w:ind w:left="360" w:hanging="360"/>
    </w:pPr>
    <w:rPr>
      <w:rFonts w:ascii="宋体" w:hAnsi="宋体" w:cs="宋体"/>
      <w:b/>
      <w:bCs/>
      <w:color w:val="000000"/>
      <w:kern w:val="0"/>
      <w:sz w:val="18"/>
      <w:szCs w:val="18"/>
    </w:rPr>
  </w:style>
  <w:style w:type="paragraph" w:customStyle="1" w:styleId="144">
    <w:name w:val="样式 标题 22nd levelh22Header 2l2第一章 标题 2Heading 2 HiddenHea..."/>
    <w:basedOn w:val="3"/>
    <w:qFormat/>
    <w:uiPriority w:val="0"/>
    <w:pPr>
      <w:tabs>
        <w:tab w:val="left" w:pos="992"/>
      </w:tabs>
      <w:adjustRightInd/>
      <w:snapToGrid/>
      <w:spacing w:before="260" w:after="260"/>
      <w:ind w:left="992" w:hanging="567"/>
      <w:jc w:val="both"/>
    </w:pPr>
    <w:rPr>
      <w:rFonts w:eastAsia="黑体" w:cs="宋体"/>
      <w:szCs w:val="24"/>
    </w:rPr>
  </w:style>
  <w:style w:type="paragraph" w:customStyle="1" w:styleId="145">
    <w:name w:val="样式 标题 22nd levelh22Header 2l2第一章 标题 2Heading 2 HiddenHea...1"/>
    <w:basedOn w:val="3"/>
    <w:qFormat/>
    <w:uiPriority w:val="0"/>
    <w:pPr>
      <w:tabs>
        <w:tab w:val="left" w:pos="992"/>
      </w:tabs>
      <w:adjustRightInd/>
      <w:snapToGrid/>
      <w:spacing w:before="260" w:after="260"/>
      <w:ind w:left="992" w:hanging="567"/>
      <w:jc w:val="both"/>
    </w:pPr>
    <w:rPr>
      <w:rFonts w:eastAsia="黑体" w:cs="宋体"/>
      <w:sz w:val="28"/>
      <w:szCs w:val="20"/>
    </w:rPr>
  </w:style>
  <w:style w:type="paragraph" w:customStyle="1" w:styleId="146">
    <w:name w:val="样式 标题 2H2UNDERRUBRIK 1-2Underrubrik1prop2Heading 2 HiddenH..."/>
    <w:basedOn w:val="3"/>
    <w:qFormat/>
    <w:uiPriority w:val="0"/>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147">
    <w:name w:val="Table Text"/>
    <w:qFormat/>
    <w:uiPriority w:val="0"/>
    <w:pPr>
      <w:snapToGrid w:val="0"/>
      <w:spacing w:before="80" w:after="80"/>
    </w:pPr>
    <w:rPr>
      <w:rFonts w:ascii="Arial" w:hAnsi="Arial" w:eastAsia="宋体" w:cs="Arial"/>
      <w:kern w:val="2"/>
      <w:sz w:val="18"/>
      <w:szCs w:val="18"/>
      <w:lang w:val="en-US" w:eastAsia="zh-CN" w:bidi="ar-SA"/>
    </w:rPr>
  </w:style>
  <w:style w:type="character" w:customStyle="1" w:styleId="148">
    <w:name w:val="Table Text Char1"/>
    <w:qFormat/>
    <w:uiPriority w:val="0"/>
    <w:rPr>
      <w:rFonts w:ascii="Arial" w:hAnsi="Arial" w:eastAsia="宋体" w:cs="Arial"/>
      <w:kern w:val="2"/>
      <w:sz w:val="18"/>
      <w:szCs w:val="18"/>
      <w:lang w:val="en-US" w:eastAsia="zh-CN" w:bidi="ar-SA"/>
    </w:rPr>
  </w:style>
  <w:style w:type="paragraph" w:customStyle="1" w:styleId="149">
    <w:name w:val="Table Text Char Char"/>
    <w:qFormat/>
    <w:uiPriority w:val="0"/>
    <w:pPr>
      <w:snapToGrid w:val="0"/>
      <w:spacing w:before="80" w:after="80"/>
    </w:pPr>
    <w:rPr>
      <w:rFonts w:ascii="Arial" w:hAnsi="Arial" w:eastAsia="宋体" w:cs="Arial"/>
      <w:kern w:val="2"/>
      <w:sz w:val="18"/>
      <w:szCs w:val="21"/>
      <w:lang w:val="en-US" w:eastAsia="zh-CN" w:bidi="ar-SA"/>
    </w:rPr>
  </w:style>
  <w:style w:type="character" w:customStyle="1" w:styleId="150">
    <w:name w:val="Table Text Char Char Char"/>
    <w:qFormat/>
    <w:uiPriority w:val="0"/>
    <w:rPr>
      <w:rFonts w:ascii="Arial" w:hAnsi="Arial" w:eastAsia="宋体" w:cs="Arial"/>
      <w:kern w:val="2"/>
      <w:sz w:val="18"/>
      <w:szCs w:val="21"/>
      <w:lang w:val="en-US" w:eastAsia="zh-CN" w:bidi="ar-SA"/>
    </w:rPr>
  </w:style>
  <w:style w:type="paragraph" w:customStyle="1" w:styleId="151">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5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3">
    <w:name w:val="Item List"/>
    <w:qFormat/>
    <w:uiPriority w:val="0"/>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154">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55">
    <w:name w:val="默认段落字体 Para Char Char Char Char Char Char Char Char Char1"/>
    <w:basedOn w:val="1"/>
    <w:qFormat/>
    <w:uiPriority w:val="0"/>
    <w:rPr>
      <w:rFonts w:ascii="Tahoma" w:hAnsi="Tahoma"/>
      <w:sz w:val="24"/>
      <w:szCs w:val="20"/>
    </w:rPr>
  </w:style>
  <w:style w:type="paragraph" w:customStyle="1" w:styleId="156">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57">
    <w:name w:val="Char Char Char"/>
    <w:basedOn w:val="1"/>
    <w:qFormat/>
    <w:uiPriority w:val="0"/>
    <w:rPr>
      <w:rFonts w:ascii="Tahoma" w:hAnsi="Tahoma"/>
      <w:sz w:val="24"/>
      <w:szCs w:val="20"/>
    </w:rPr>
  </w:style>
  <w:style w:type="paragraph" w:customStyle="1" w:styleId="158">
    <w:name w:val="样式 标题 1 + 四号 居中 段前: 12 磅 段后: 12 磅 行距: 单倍行距"/>
    <w:basedOn w:val="2"/>
    <w:qFormat/>
    <w:uiPriority w:val="0"/>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159">
    <w:name w:val="Char1 Char Char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Char Char Char Char1"/>
    <w:basedOn w:val="1"/>
    <w:qFormat/>
    <w:uiPriority w:val="0"/>
    <w:pPr>
      <w:tabs>
        <w:tab w:val="left" w:pos="360"/>
      </w:tabs>
      <w:ind w:firstLine="420" w:firstLineChars="150"/>
    </w:pPr>
    <w:rPr>
      <w:rFonts w:ascii="Arial" w:hAnsi="Arial" w:cs="Arial"/>
      <w:sz w:val="20"/>
      <w:szCs w:val="20"/>
    </w:rPr>
  </w:style>
  <w:style w:type="paragraph" w:customStyle="1" w:styleId="162">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3">
    <w:name w:val="表格文字"/>
    <w:basedOn w:val="1"/>
    <w:qFormat/>
    <w:uiPriority w:val="0"/>
    <w:pPr>
      <w:spacing w:beforeLines="5" w:afterLines="5" w:line="200" w:lineRule="atLeast"/>
      <w:ind w:left="10" w:leftChars="10"/>
    </w:pPr>
    <w:rPr>
      <w:rFonts w:ascii="宋体" w:hAnsi="宋体"/>
      <w:color w:val="000000"/>
      <w:sz w:val="20"/>
      <w:szCs w:val="20"/>
    </w:rPr>
  </w:style>
  <w:style w:type="paragraph" w:customStyle="1" w:styleId="164">
    <w:name w:val="缺省文本"/>
    <w:basedOn w:val="1"/>
    <w:qFormat/>
    <w:uiPriority w:val="0"/>
    <w:pPr>
      <w:autoSpaceDE w:val="0"/>
      <w:autoSpaceDN w:val="0"/>
      <w:adjustRightInd w:val="0"/>
    </w:pPr>
    <w:rPr>
      <w:kern w:val="0"/>
      <w:sz w:val="24"/>
    </w:rPr>
  </w:style>
  <w:style w:type="paragraph" w:customStyle="1" w:styleId="165">
    <w:name w:val="缩进项目"/>
    <w:basedOn w:val="1"/>
    <w:qFormat/>
    <w:uiPriority w:val="0"/>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166">
    <w:name w:val="一级条标题"/>
    <w:basedOn w:val="167"/>
    <w:next w:val="168"/>
    <w:qFormat/>
    <w:uiPriority w:val="0"/>
    <w:pPr>
      <w:tabs>
        <w:tab w:val="left" w:pos="486"/>
        <w:tab w:val="left" w:pos="992"/>
      </w:tabs>
      <w:spacing w:before="0" w:after="0" w:line="240" w:lineRule="auto"/>
      <w:ind w:left="486" w:hanging="420"/>
      <w:outlineLvl w:val="2"/>
    </w:pPr>
  </w:style>
  <w:style w:type="paragraph" w:customStyle="1" w:styleId="167">
    <w:name w:val="章标题"/>
    <w:next w:val="1"/>
    <w:qFormat/>
    <w:uiPriority w:val="0"/>
    <w:pPr>
      <w:tabs>
        <w:tab w:val="left" w:pos="992"/>
      </w:tabs>
      <w:spacing w:before="50" w:after="50" w:line="360" w:lineRule="auto"/>
      <w:ind w:left="992" w:hanging="567"/>
      <w:jc w:val="both"/>
      <w:outlineLvl w:val="1"/>
    </w:pPr>
    <w:rPr>
      <w:rFonts w:ascii="黑体" w:hAnsi="Times New Roman" w:eastAsia="黑体" w:cs="Times New Roman"/>
      <w:sz w:val="21"/>
      <w:lang w:val="en-US" w:eastAsia="zh-CN" w:bidi="ar-SA"/>
    </w:rPr>
  </w:style>
  <w:style w:type="paragraph" w:customStyle="1" w:styleId="168">
    <w:name w:val="段"/>
    <w:next w:val="1"/>
    <w:qFormat/>
    <w:uiPriority w:val="0"/>
    <w:pPr>
      <w:tabs>
        <w:tab w:val="left" w:pos="1395"/>
      </w:tabs>
      <w:autoSpaceDE w:val="0"/>
      <w:autoSpaceDN w:val="0"/>
      <w:ind w:firstLine="425"/>
      <w:jc w:val="both"/>
    </w:pPr>
    <w:rPr>
      <w:rFonts w:ascii="宋体" w:hAnsi="Times New Roman" w:eastAsia="宋体" w:cs="Times New Roman"/>
      <w:sz w:val="21"/>
      <w:lang w:val="en-US" w:eastAsia="zh-CN" w:bidi="ar-SA"/>
    </w:rPr>
  </w:style>
  <w:style w:type="character" w:customStyle="1" w:styleId="169">
    <w:name w:val="称呼 Char1"/>
    <w:link w:val="15"/>
    <w:qFormat/>
    <w:uiPriority w:val="0"/>
    <w:rPr>
      <w:rFonts w:ascii="Times New Roman" w:hAnsi="Times New Roman" w:eastAsia="宋体" w:cs="Times New Roman"/>
      <w:szCs w:val="20"/>
    </w:rPr>
  </w:style>
  <w:style w:type="character" w:customStyle="1" w:styleId="170">
    <w:name w:val="称呼 Char"/>
    <w:basedOn w:val="41"/>
    <w:qFormat/>
    <w:uiPriority w:val="99"/>
    <w:rPr>
      <w:rFonts w:ascii="Times New Roman" w:hAnsi="Times New Roman" w:eastAsia="宋体" w:cs="Times New Roman"/>
      <w:szCs w:val="24"/>
    </w:rPr>
  </w:style>
  <w:style w:type="paragraph" w:customStyle="1" w:styleId="171">
    <w:name w:val="NICMAN Body Text"/>
    <w:basedOn w:val="1"/>
    <w:next w:val="18"/>
    <w:qFormat/>
    <w:uiPriority w:val="0"/>
    <w:pPr>
      <w:spacing w:after="120" w:line="400" w:lineRule="exact"/>
      <w:ind w:firstLine="454"/>
    </w:pPr>
    <w:rPr>
      <w:sz w:val="24"/>
      <w:szCs w:val="20"/>
    </w:rPr>
  </w:style>
  <w:style w:type="character" w:customStyle="1" w:styleId="172">
    <w:name w:val="纯文本 Char1"/>
    <w:qFormat/>
    <w:uiPriority w:val="0"/>
    <w:rPr>
      <w:rFonts w:ascii="宋体" w:hAnsi="Courier New" w:cs="Courier New"/>
      <w:kern w:val="2"/>
      <w:sz w:val="21"/>
      <w:szCs w:val="21"/>
    </w:rPr>
  </w:style>
  <w:style w:type="paragraph" w:customStyle="1" w:styleId="173">
    <w:name w:val="正文首行缩进:  2 字符"/>
    <w:basedOn w:val="1"/>
    <w:qFormat/>
    <w:uiPriority w:val="0"/>
    <w:pPr>
      <w:spacing w:line="360" w:lineRule="auto"/>
      <w:ind w:firstLine="482" w:firstLineChars="200"/>
    </w:pPr>
    <w:rPr>
      <w:rFonts w:ascii="Arial" w:hAnsi="Arial" w:cs="宋体"/>
      <w:kern w:val="0"/>
      <w:sz w:val="24"/>
      <w:szCs w:val="20"/>
    </w:rPr>
  </w:style>
  <w:style w:type="paragraph" w:customStyle="1" w:styleId="174">
    <w:name w:val="Char Char Char Char"/>
    <w:basedOn w:val="1"/>
    <w:qFormat/>
    <w:uiPriority w:val="0"/>
    <w:rPr>
      <w:rFonts w:ascii="Tahoma" w:hAnsi="Tahoma"/>
      <w:sz w:val="24"/>
      <w:szCs w:val="20"/>
    </w:rPr>
  </w:style>
  <w:style w:type="paragraph" w:customStyle="1" w:styleId="175">
    <w:name w:val="正文首行缩进两字符 Char Char"/>
    <w:basedOn w:val="1"/>
    <w:qFormat/>
    <w:uiPriority w:val="0"/>
    <w:pPr>
      <w:spacing w:line="360" w:lineRule="auto"/>
      <w:ind w:firstLine="200" w:firstLineChars="200"/>
    </w:pPr>
    <w:rPr>
      <w:sz w:val="24"/>
    </w:rPr>
  </w:style>
  <w:style w:type="paragraph" w:customStyle="1" w:styleId="176">
    <w:name w:val="123"/>
    <w:basedOn w:val="1"/>
    <w:qFormat/>
    <w:uiPriority w:val="0"/>
    <w:pPr>
      <w:spacing w:before="120"/>
      <w:ind w:firstLine="425"/>
    </w:pPr>
    <w:rPr>
      <w:szCs w:val="20"/>
    </w:rPr>
  </w:style>
  <w:style w:type="paragraph" w:customStyle="1" w:styleId="177">
    <w:name w:val="Char1 Char Char Char"/>
    <w:basedOn w:val="1"/>
    <w:qFormat/>
    <w:uiPriority w:val="0"/>
    <w:rPr>
      <w:rFonts w:ascii="Tahoma" w:hAnsi="Tahoma"/>
      <w:sz w:val="24"/>
      <w:szCs w:val="20"/>
    </w:rPr>
  </w:style>
  <w:style w:type="paragraph" w:customStyle="1" w:styleId="178">
    <w:name w:val="大标题"/>
    <w:basedOn w:val="1"/>
    <w:qFormat/>
    <w:uiPriority w:val="0"/>
    <w:pPr>
      <w:spacing w:line="600" w:lineRule="exact"/>
      <w:ind w:left="340" w:right="340"/>
      <w:jc w:val="center"/>
    </w:pPr>
    <w:rPr>
      <w:sz w:val="44"/>
      <w:szCs w:val="20"/>
    </w:rPr>
  </w:style>
  <w:style w:type="character" w:customStyle="1" w:styleId="179">
    <w:name w:val="HTML 预设格式 Char1"/>
    <w:link w:val="33"/>
    <w:qFormat/>
    <w:uiPriority w:val="0"/>
    <w:rPr>
      <w:rFonts w:ascii="宋体" w:hAnsi="宋体" w:eastAsia="宋体" w:cs="宋体"/>
      <w:kern w:val="0"/>
      <w:sz w:val="24"/>
      <w:szCs w:val="24"/>
    </w:rPr>
  </w:style>
  <w:style w:type="character" w:customStyle="1" w:styleId="180">
    <w:name w:val="HTML 预设格式 Char"/>
    <w:basedOn w:val="41"/>
    <w:semiHidden/>
    <w:qFormat/>
    <w:uiPriority w:val="99"/>
    <w:rPr>
      <w:rFonts w:ascii="Courier New" w:hAnsi="Courier New" w:eastAsia="宋体" w:cs="Courier New"/>
      <w:sz w:val="20"/>
      <w:szCs w:val="20"/>
    </w:rPr>
  </w:style>
  <w:style w:type="paragraph" w:customStyle="1" w:styleId="181">
    <w:name w:val="表格文字（大）"/>
    <w:basedOn w:val="1"/>
    <w:qFormat/>
    <w:uiPriority w:val="0"/>
    <w:pPr>
      <w:spacing w:before="20" w:after="20"/>
    </w:pPr>
    <w:rPr>
      <w:rFonts w:ascii="Century Gothic" w:hAnsi="Century Gothic"/>
      <w:sz w:val="24"/>
      <w:szCs w:val="20"/>
    </w:rPr>
  </w:style>
  <w:style w:type="paragraph" w:customStyle="1" w:styleId="182">
    <w:name w:val="Item List in Table"/>
    <w:basedOn w:val="1"/>
    <w:qFormat/>
    <w:uiPriority w:val="0"/>
    <w:pPr>
      <w:tabs>
        <w:tab w:val="left" w:pos="420"/>
      </w:tabs>
      <w:ind w:left="420" w:hanging="420"/>
    </w:pPr>
  </w:style>
  <w:style w:type="paragraph" w:customStyle="1" w:styleId="183">
    <w:name w:val="Char Char Char Char Char Char Char Char Char Char"/>
    <w:basedOn w:val="1"/>
    <w:qFormat/>
    <w:uiPriority w:val="0"/>
    <w:pPr>
      <w:tabs>
        <w:tab w:val="left" w:pos="360"/>
      </w:tabs>
      <w:ind w:left="360" w:hanging="360" w:hangingChars="200"/>
    </w:pPr>
    <w:rPr>
      <w:sz w:val="24"/>
    </w:rPr>
  </w:style>
  <w:style w:type="paragraph" w:customStyle="1" w:styleId="184">
    <w:name w:val="样式4"/>
    <w:basedOn w:val="1"/>
    <w:qFormat/>
    <w:uiPriority w:val="0"/>
    <w:pPr>
      <w:jc w:val="center"/>
      <w:outlineLvl w:val="0"/>
    </w:pPr>
    <w:rPr>
      <w:b/>
      <w:sz w:val="32"/>
      <w:szCs w:val="20"/>
    </w:rPr>
  </w:style>
  <w:style w:type="character" w:customStyle="1" w:styleId="185">
    <w:name w:val="h31"/>
    <w:qFormat/>
    <w:uiPriority w:val="0"/>
    <w:rPr>
      <w:spacing w:val="330"/>
      <w:sz w:val="21"/>
      <w:szCs w:val="21"/>
    </w:rPr>
  </w:style>
  <w:style w:type="paragraph" w:customStyle="1" w:styleId="186">
    <w:name w:val="Titel 2"/>
    <w:basedOn w:val="1"/>
    <w:qFormat/>
    <w:uiPriority w:val="0"/>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187">
    <w:name w:val="tpc_content1"/>
    <w:qFormat/>
    <w:uiPriority w:val="0"/>
    <w:rPr>
      <w:sz w:val="15"/>
      <w:szCs w:val="15"/>
    </w:rPr>
  </w:style>
  <w:style w:type="character" w:customStyle="1" w:styleId="188">
    <w:name w:val="blacksmm"/>
    <w:qFormat/>
    <w:uiPriority w:val="0"/>
  </w:style>
  <w:style w:type="character" w:customStyle="1" w:styleId="189">
    <w:name w:val="blacksm"/>
    <w:qFormat/>
    <w:uiPriority w:val="0"/>
  </w:style>
  <w:style w:type="paragraph" w:customStyle="1" w:styleId="190">
    <w:name w:val="标题X.1.1"/>
    <w:basedOn w:val="1"/>
    <w:next w:val="18"/>
    <w:qFormat/>
    <w:uiPriority w:val="0"/>
    <w:pPr>
      <w:tabs>
        <w:tab w:val="left" w:pos="540"/>
        <w:tab w:val="left" w:pos="5985"/>
      </w:tabs>
      <w:spacing w:beforeLines="150" w:line="400" w:lineRule="exact"/>
      <w:outlineLvl w:val="2"/>
    </w:pPr>
    <w:rPr>
      <w:rFonts w:ascii="宋体" w:hAnsi="宋体"/>
      <w:b/>
      <w:sz w:val="30"/>
      <w:szCs w:val="30"/>
    </w:rPr>
  </w:style>
  <w:style w:type="character" w:customStyle="1" w:styleId="191">
    <w:name w:val="正文文本 2 Char1"/>
    <w:link w:val="32"/>
    <w:semiHidden/>
    <w:qFormat/>
    <w:uiPriority w:val="0"/>
    <w:rPr>
      <w:rFonts w:ascii="Times New Roman" w:hAnsi="Times New Roman" w:eastAsia="宋体" w:cs="Times New Roman"/>
      <w:i/>
      <w:kern w:val="0"/>
      <w:sz w:val="24"/>
      <w:szCs w:val="20"/>
      <w:lang w:val="it-IT"/>
    </w:rPr>
  </w:style>
  <w:style w:type="character" w:customStyle="1" w:styleId="192">
    <w:name w:val="正文文本 2 Char"/>
    <w:basedOn w:val="41"/>
    <w:semiHidden/>
    <w:qFormat/>
    <w:uiPriority w:val="99"/>
    <w:rPr>
      <w:rFonts w:ascii="Times New Roman" w:hAnsi="Times New Roman" w:eastAsia="宋体" w:cs="Times New Roman"/>
      <w:szCs w:val="24"/>
    </w:rPr>
  </w:style>
  <w:style w:type="character" w:customStyle="1" w:styleId="193">
    <w:name w:val="正文首行缩进 Char1"/>
    <w:link w:val="37"/>
    <w:qFormat/>
    <w:uiPriority w:val="0"/>
    <w:rPr>
      <w:rFonts w:ascii="Times New Roman" w:hAnsi="Times New Roman" w:eastAsia="宋体" w:cs="Times New Roman"/>
      <w:szCs w:val="24"/>
    </w:rPr>
  </w:style>
  <w:style w:type="character" w:customStyle="1" w:styleId="194">
    <w:name w:val="正文首行缩进 Char"/>
    <w:basedOn w:val="73"/>
    <w:qFormat/>
    <w:uiPriority w:val="99"/>
    <w:rPr>
      <w:rFonts w:ascii="Times New Roman" w:hAnsi="Times New Roman" w:eastAsia="宋体" w:cs="Times New Roman"/>
      <w:szCs w:val="24"/>
    </w:rPr>
  </w:style>
  <w:style w:type="character" w:customStyle="1" w:styleId="195">
    <w:name w:val="navhead1"/>
    <w:qFormat/>
    <w:uiPriority w:val="0"/>
    <w:rPr>
      <w:rFonts w:hint="default" w:ascii="Verdana" w:hAnsi="Verdana"/>
      <w:b/>
      <w:bCs/>
      <w:color w:val="000066"/>
      <w:sz w:val="22"/>
      <w:szCs w:val="22"/>
      <w:u w:val="none"/>
      <w:shd w:val="clear" w:color="auto" w:fill="FFFFFF"/>
    </w:rPr>
  </w:style>
  <w:style w:type="character" w:customStyle="1" w:styleId="196">
    <w:name w:val="boldheader1"/>
    <w:qFormat/>
    <w:uiPriority w:val="0"/>
    <w:rPr>
      <w:rFonts w:hint="default" w:ascii="Verdana" w:hAnsi="Verdana"/>
      <w:b/>
      <w:bCs/>
      <w:color w:val="000066"/>
      <w:sz w:val="22"/>
      <w:szCs w:val="22"/>
      <w:u w:val="none"/>
    </w:rPr>
  </w:style>
  <w:style w:type="character" w:customStyle="1" w:styleId="197">
    <w:name w:val="style11"/>
    <w:qFormat/>
    <w:uiPriority w:val="0"/>
    <w:rPr>
      <w:b/>
      <w:bCs/>
      <w:color w:val="669900"/>
    </w:rPr>
  </w:style>
  <w:style w:type="paragraph" w:customStyle="1" w:styleId="198">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199">
    <w:name w:val="Char Char Char Char Char Char Char Char Char Char1"/>
    <w:basedOn w:val="1"/>
    <w:qFormat/>
    <w:uiPriority w:val="0"/>
    <w:pPr>
      <w:tabs>
        <w:tab w:val="left" w:pos="360"/>
      </w:tabs>
      <w:ind w:left="360" w:hanging="360" w:hangingChars="200"/>
    </w:pPr>
    <w:rPr>
      <w:sz w:val="24"/>
    </w:rPr>
  </w:style>
  <w:style w:type="character" w:customStyle="1" w:styleId="200">
    <w:name w:val="parameter"/>
    <w:qFormat/>
    <w:uiPriority w:val="0"/>
  </w:style>
  <w:style w:type="character" w:customStyle="1" w:styleId="201">
    <w:name w:val="style1"/>
    <w:qFormat/>
    <w:uiPriority w:val="0"/>
  </w:style>
  <w:style w:type="character" w:customStyle="1" w:styleId="202">
    <w:name w:val="lh15 s"/>
    <w:qFormat/>
    <w:uiPriority w:val="0"/>
  </w:style>
  <w:style w:type="paragraph" w:customStyle="1" w:styleId="203">
    <w:name w:val="Char Char Char Char Char Char1 Char"/>
    <w:basedOn w:val="1"/>
    <w:qFormat/>
    <w:uiPriority w:val="0"/>
    <w:pPr>
      <w:spacing w:after="160" w:line="240" w:lineRule="exact"/>
    </w:pPr>
    <w:rPr>
      <w:rFonts w:ascii="Verdana" w:hAnsi="Verdana"/>
      <w:kern w:val="0"/>
      <w:szCs w:val="20"/>
      <w:lang w:eastAsia="en-US"/>
    </w:rPr>
  </w:style>
  <w:style w:type="paragraph" w:customStyle="1" w:styleId="204">
    <w:name w:val=".."/>
    <w:basedOn w:val="160"/>
    <w:next w:val="160"/>
    <w:qFormat/>
    <w:uiPriority w:val="0"/>
    <w:rPr>
      <w:rFonts w:cs="Times New Roman"/>
      <w:color w:val="auto"/>
    </w:rPr>
  </w:style>
  <w:style w:type="paragraph" w:customStyle="1" w:styleId="205">
    <w:name w:val="标题3"/>
    <w:basedOn w:val="4"/>
    <w:qFormat/>
    <w:uiPriority w:val="0"/>
    <w:pPr>
      <w:spacing w:line="416" w:lineRule="auto"/>
    </w:pPr>
    <w:rPr>
      <w:rFonts w:ascii="宋体" w:hAnsi="宋体"/>
      <w:bCs/>
      <w:sz w:val="28"/>
      <w:szCs w:val="28"/>
    </w:rPr>
  </w:style>
  <w:style w:type="character" w:customStyle="1" w:styleId="206">
    <w:name w:val="t31"/>
    <w:qFormat/>
    <w:uiPriority w:val="0"/>
    <w:rPr>
      <w:color w:val="000000"/>
      <w:sz w:val="21"/>
      <w:szCs w:val="21"/>
      <w:u w:val="none"/>
    </w:rPr>
  </w:style>
  <w:style w:type="paragraph" w:customStyle="1" w:styleId="207">
    <w:name w:val="Char1 Char Char Char1"/>
    <w:basedOn w:val="1"/>
    <w:qFormat/>
    <w:uiPriority w:val="0"/>
    <w:rPr>
      <w:rFonts w:ascii="Tahoma" w:hAnsi="Tahoma"/>
      <w:sz w:val="24"/>
      <w:szCs w:val="20"/>
    </w:rPr>
  </w:style>
  <w:style w:type="character" w:customStyle="1" w:styleId="208">
    <w:name w:val="tit1"/>
    <w:qFormat/>
    <w:uiPriority w:val="0"/>
    <w:rPr>
      <w:rFonts w:hint="default" w:ascii="Arial" w:hAnsi="Arial" w:eastAsia="黑体" w:cs="Arial"/>
      <w:b/>
      <w:bCs/>
      <w:color w:val="000000"/>
      <w:sz w:val="21"/>
      <w:szCs w:val="21"/>
    </w:rPr>
  </w:style>
  <w:style w:type="character" w:customStyle="1" w:styleId="209">
    <w:name w:val="11pt"/>
    <w:qFormat/>
    <w:uiPriority w:val="0"/>
  </w:style>
  <w:style w:type="paragraph" w:customStyle="1" w:styleId="210">
    <w:name w:val="Char Char Char Char2"/>
    <w:basedOn w:val="1"/>
    <w:qFormat/>
    <w:uiPriority w:val="0"/>
    <w:pPr>
      <w:tabs>
        <w:tab w:val="left" w:pos="360"/>
      </w:tabs>
      <w:ind w:firstLine="420" w:firstLineChars="150"/>
    </w:pPr>
    <w:rPr>
      <w:rFonts w:ascii="Arial" w:hAnsi="Arial" w:cs="Arial"/>
      <w:sz w:val="20"/>
      <w:szCs w:val="20"/>
    </w:rPr>
  </w:style>
  <w:style w:type="paragraph" w:customStyle="1" w:styleId="211">
    <w:name w:val="Char Char1 Char Char Char Char Char Char"/>
    <w:basedOn w:val="1"/>
    <w:qFormat/>
    <w:uiPriority w:val="0"/>
    <w:pPr>
      <w:spacing w:after="160" w:line="240" w:lineRule="exact"/>
    </w:pPr>
    <w:rPr>
      <w:rFonts w:ascii="Verdana" w:hAnsi="Verdana" w:eastAsia="仿宋_GB2312"/>
      <w:spacing w:val="-4"/>
      <w:kern w:val="0"/>
      <w:position w:val="-8"/>
      <w:sz w:val="24"/>
      <w:szCs w:val="20"/>
      <w:lang w:eastAsia="en-US"/>
    </w:rPr>
  </w:style>
  <w:style w:type="character" w:customStyle="1" w:styleId="212">
    <w:name w:val="text_line_height_201"/>
    <w:qFormat/>
    <w:uiPriority w:val="0"/>
  </w:style>
  <w:style w:type="paragraph" w:customStyle="1" w:styleId="213">
    <w:name w:val="Char Char Char Char Char Char Char Char Char Char Char Char Char Char Char Char"/>
    <w:basedOn w:val="1"/>
    <w:qFormat/>
    <w:uiPriority w:val="0"/>
    <w:pPr>
      <w:tabs>
        <w:tab w:val="left" w:pos="360"/>
      </w:tabs>
    </w:pPr>
    <w:rPr>
      <w:sz w:val="24"/>
    </w:rPr>
  </w:style>
  <w:style w:type="paragraph" w:customStyle="1" w:styleId="214">
    <w:name w:val="Char Char1"/>
    <w:basedOn w:val="13"/>
    <w:qFormat/>
    <w:uiPriority w:val="0"/>
    <w:rPr>
      <w:rFonts w:ascii="Tahoma" w:hAnsi="Tahoma"/>
      <w:sz w:val="24"/>
    </w:rPr>
  </w:style>
  <w:style w:type="character" w:customStyle="1" w:styleId="215">
    <w:name w:val="普通文字 Char Char"/>
    <w:qFormat/>
    <w:uiPriority w:val="0"/>
    <w:rPr>
      <w:rFonts w:ascii="宋体" w:hAnsi="Courier New" w:eastAsia="宋体" w:cs="Courier New"/>
      <w:kern w:val="2"/>
      <w:sz w:val="21"/>
      <w:szCs w:val="21"/>
      <w:lang w:val="en-US" w:eastAsia="zh-CN" w:bidi="ar-SA"/>
    </w:rPr>
  </w:style>
  <w:style w:type="paragraph" w:customStyle="1" w:styleId="216">
    <w:name w:val="Char1 Char Char"/>
    <w:basedOn w:val="1"/>
    <w:qFormat/>
    <w:uiPriority w:val="0"/>
    <w:pPr>
      <w:spacing w:after="160" w:line="240" w:lineRule="exact"/>
    </w:pPr>
    <w:rPr>
      <w:rFonts w:ascii="Arial" w:hAnsi="Arial" w:eastAsia="Times New Roman" w:cs="Verdana"/>
      <w:b/>
      <w:kern w:val="0"/>
      <w:sz w:val="24"/>
      <w:lang w:eastAsia="en-US"/>
    </w:rPr>
  </w:style>
  <w:style w:type="paragraph" w:customStyle="1" w:styleId="217">
    <w:name w:val="字元 字元"/>
    <w:basedOn w:val="1"/>
    <w:qFormat/>
    <w:uiPriority w:val="0"/>
    <w:rPr>
      <w:szCs w:val="20"/>
    </w:rPr>
  </w:style>
  <w:style w:type="paragraph" w:customStyle="1" w:styleId="218">
    <w:name w:val="090909"/>
    <w:basedOn w:val="1"/>
    <w:qFormat/>
    <w:uiPriority w:val="0"/>
    <w:pPr>
      <w:ind w:firstLine="200" w:firstLineChars="200"/>
      <w:outlineLvl w:val="0"/>
    </w:pPr>
    <w:rPr>
      <w:szCs w:val="20"/>
    </w:rPr>
  </w:style>
  <w:style w:type="paragraph" w:customStyle="1" w:styleId="219">
    <w:name w:val="Char Char Char1"/>
    <w:basedOn w:val="1"/>
    <w:qFormat/>
    <w:uiPriority w:val="0"/>
    <w:rPr>
      <w:rFonts w:ascii="Tahoma" w:hAnsi="Tahoma"/>
      <w:sz w:val="24"/>
      <w:szCs w:val="20"/>
    </w:rPr>
  </w:style>
  <w:style w:type="character" w:customStyle="1" w:styleId="220">
    <w:name w:val="纯文本 字符"/>
    <w:qFormat/>
    <w:uiPriority w:val="0"/>
    <w:rPr>
      <w:rFonts w:ascii="宋体" w:hAnsi="Courier New"/>
    </w:rPr>
  </w:style>
  <w:style w:type="character" w:customStyle="1" w:styleId="221">
    <w:name w:val="emtidy-1"/>
    <w:qFormat/>
    <w:uiPriority w:val="0"/>
  </w:style>
  <w:style w:type="character" w:customStyle="1" w:styleId="222">
    <w:name w:val="标题 Char"/>
    <w:basedOn w:val="41"/>
    <w:link w:val="35"/>
    <w:qFormat/>
    <w:uiPriority w:val="0"/>
    <w:rPr>
      <w:rFonts w:ascii="Arial" w:hAnsi="Arial" w:eastAsia="宋体" w:cs="Arial"/>
      <w:b/>
      <w:bCs/>
      <w:sz w:val="32"/>
      <w:szCs w:val="32"/>
    </w:rPr>
  </w:style>
  <w:style w:type="paragraph" w:customStyle="1" w:styleId="223">
    <w:name w:val="p0"/>
    <w:basedOn w:val="1"/>
    <w:qFormat/>
    <w:uiPriority w:val="0"/>
    <w:rPr>
      <w:rFonts w:ascii="Calibri" w:hAnsi="Calibri"/>
      <w:kern w:val="0"/>
      <w:szCs w:val="21"/>
    </w:rPr>
  </w:style>
  <w:style w:type="paragraph" w:customStyle="1" w:styleId="22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2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29">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7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3">
    <w:name w:val="xl74"/>
    <w:basedOn w:val="1"/>
    <w:qFormat/>
    <w:uiPriority w:val="0"/>
    <w:pPr>
      <w:pBdr>
        <w:top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34">
    <w:name w:val="xl75"/>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76"/>
    <w:basedOn w:val="1"/>
    <w:qFormat/>
    <w:uiPriority w:val="0"/>
    <w:pPr>
      <w:pBdr>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6">
    <w:name w:val="xl77"/>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7">
    <w:name w:val="xl7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8">
    <w:name w:val="xl79"/>
    <w:basedOn w:val="1"/>
    <w:qFormat/>
    <w:uiPriority w:val="0"/>
    <w:pPr>
      <w:pBdr>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9">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0">
    <w:name w:val="xl81"/>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1">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2">
    <w:name w:val="xl8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3">
    <w:name w:val="xl84"/>
    <w:basedOn w:val="1"/>
    <w:qFormat/>
    <w:uiPriority w:val="0"/>
    <w:pPr>
      <w:pBdr>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4">
    <w:name w:val="xl85"/>
    <w:basedOn w:val="1"/>
    <w:qFormat/>
    <w:uiPriority w:val="0"/>
    <w:pPr>
      <w:spacing w:before="100" w:beforeAutospacing="1" w:after="100" w:afterAutospacing="1"/>
      <w:jc w:val="center"/>
    </w:pPr>
    <w:rPr>
      <w:rFonts w:ascii="宋体" w:hAnsi="宋体" w:cs="宋体"/>
      <w:kern w:val="0"/>
      <w:sz w:val="20"/>
      <w:szCs w:val="20"/>
    </w:rPr>
  </w:style>
  <w:style w:type="paragraph" w:customStyle="1" w:styleId="245">
    <w:name w:val="xl86"/>
    <w:basedOn w:val="1"/>
    <w:qFormat/>
    <w:uiPriority w:val="0"/>
    <w:pPr>
      <w:pBdr>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6">
    <w:name w:val="xl87"/>
    <w:basedOn w:val="1"/>
    <w:qFormat/>
    <w:uiPriority w:val="0"/>
    <w:pPr>
      <w:spacing w:before="100" w:beforeAutospacing="1" w:after="100" w:afterAutospacing="1"/>
      <w:jc w:val="right"/>
    </w:pPr>
    <w:rPr>
      <w:rFonts w:ascii="宋体" w:hAnsi="宋体" w:cs="宋体"/>
      <w:kern w:val="0"/>
      <w:sz w:val="20"/>
      <w:szCs w:val="20"/>
    </w:rPr>
  </w:style>
  <w:style w:type="paragraph" w:customStyle="1" w:styleId="247">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48">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0">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1">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52">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3">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character" w:customStyle="1" w:styleId="255">
    <w:name w:val="标题 2 Char1"/>
    <w:qFormat/>
    <w:uiPriority w:val="0"/>
    <w:rPr>
      <w:rFonts w:ascii="Arial" w:hAnsi="Arial" w:eastAsia="黑体" w:cs="Times New Roman"/>
      <w:b/>
      <w:bCs/>
      <w:sz w:val="32"/>
      <w:szCs w:val="32"/>
    </w:rPr>
  </w:style>
  <w:style w:type="character" w:customStyle="1" w:styleId="256">
    <w:name w:val="标题 字符"/>
    <w:qFormat/>
    <w:uiPriority w:val="10"/>
    <w:rPr>
      <w:rFonts w:ascii="等线 Light" w:hAnsi="等线 Light" w:eastAsia="等线 Light" w:cs="Times New Roman"/>
      <w:b/>
      <w:bCs/>
      <w:sz w:val="32"/>
      <w:szCs w:val="32"/>
    </w:rPr>
  </w:style>
  <w:style w:type="character" w:customStyle="1" w:styleId="257">
    <w:name w:val="列出段落 字符"/>
    <w:qFormat/>
    <w:locked/>
    <w:uiPriority w:val="34"/>
    <w:rPr>
      <w:kern w:val="2"/>
      <w:sz w:val="21"/>
      <w:szCs w:val="22"/>
    </w:rPr>
  </w:style>
  <w:style w:type="paragraph" w:customStyle="1" w:styleId="258">
    <w:name w:val="4标题"/>
    <w:basedOn w:val="5"/>
    <w:link w:val="259"/>
    <w:qFormat/>
    <w:uiPriority w:val="0"/>
    <w:pPr>
      <w:adjustRightInd/>
      <w:spacing w:line="376" w:lineRule="auto"/>
      <w:textAlignment w:val="auto"/>
    </w:pPr>
    <w:rPr>
      <w:rFonts w:ascii="Calibri Light" w:hAnsi="Calibri Light" w:eastAsia="宋体"/>
      <w:bCs/>
      <w:kern w:val="2"/>
      <w:szCs w:val="28"/>
    </w:rPr>
  </w:style>
  <w:style w:type="character" w:customStyle="1" w:styleId="259">
    <w:name w:val="4标题 Char"/>
    <w:link w:val="258"/>
    <w:qFormat/>
    <w:uiPriority w:val="0"/>
    <w:rPr>
      <w:rFonts w:ascii="Calibri Light" w:hAnsi="Calibri Light" w:eastAsia="宋体" w:cs="Times New Roman"/>
      <w:b/>
      <w:bCs/>
      <w:sz w:val="28"/>
      <w:szCs w:val="28"/>
    </w:rPr>
  </w:style>
  <w:style w:type="paragraph" w:customStyle="1" w:styleId="260">
    <w:name w:val="xl6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华文细黑" w:hAnsi="华文细黑" w:eastAsia="华文细黑" w:cs="宋体"/>
      <w:kern w:val="0"/>
      <w:sz w:val="24"/>
    </w:rPr>
  </w:style>
  <w:style w:type="paragraph" w:styleId="261">
    <w:name w:val="List Paragraph"/>
    <w:basedOn w:val="1"/>
    <w:link w:val="262"/>
    <w:unhideWhenUsed/>
    <w:qFormat/>
    <w:uiPriority w:val="34"/>
    <w:pPr>
      <w:ind w:firstLine="420" w:firstLineChars="200"/>
    </w:pPr>
  </w:style>
  <w:style w:type="character" w:customStyle="1" w:styleId="262">
    <w:name w:val="列出段落 Char1"/>
    <w:link w:val="261"/>
    <w:qFormat/>
    <w:uiPriority w:val="34"/>
    <w:rPr>
      <w:kern w:val="2"/>
      <w:sz w:val="21"/>
      <w:szCs w:val="24"/>
    </w:rPr>
  </w:style>
  <w:style w:type="paragraph" w:customStyle="1" w:styleId="263">
    <w:name w:val="正文表格"/>
    <w:basedOn w:val="1"/>
    <w:qFormat/>
    <w:uiPriority w:val="0"/>
    <w:pPr>
      <w:widowControl w:val="0"/>
      <w:jc w:val="center"/>
    </w:pPr>
    <w:rPr>
      <w:rFonts w:ascii="宋体" w:hAnsi="宋体" w:cs="宋体"/>
      <w:color w:val="000000"/>
      <w:kern w:val="1"/>
      <w:szCs w:val="21"/>
    </w:rPr>
  </w:style>
  <w:style w:type="paragraph" w:customStyle="1" w:styleId="264">
    <w:name w:val="正文无缩进"/>
    <w:basedOn w:val="263"/>
    <w:qFormat/>
    <w:uiPriority w:val="0"/>
    <w:pPr>
      <w:jc w:val="left"/>
    </w:pPr>
  </w:style>
  <w:style w:type="paragraph" w:customStyle="1" w:styleId="26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6">
    <w:name w:val="正文文本 3 Char"/>
    <w:basedOn w:val="41"/>
    <w:link w:val="16"/>
    <w:semiHidden/>
    <w:qFormat/>
    <w:uiPriority w:val="99"/>
    <w:rPr>
      <w:kern w:val="2"/>
      <w:sz w:val="16"/>
      <w:szCs w:val="16"/>
    </w:rPr>
  </w:style>
  <w:style w:type="paragraph" w:customStyle="1" w:styleId="267">
    <w:name w:val="正文（首行缩进2字符）"/>
    <w:basedOn w:val="1"/>
    <w:qFormat/>
    <w:uiPriority w:val="0"/>
    <w:pPr>
      <w:widowControl w:val="0"/>
      <w:spacing w:line="360" w:lineRule="auto"/>
      <w:ind w:firstLine="480" w:firstLineChars="200"/>
      <w:jc w:val="both"/>
    </w:pPr>
    <w:rPr>
      <w:sz w:val="24"/>
    </w:rPr>
  </w:style>
  <w:style w:type="character" w:customStyle="1" w:styleId="268">
    <w:name w:val="正文首行缩进 Char Char Char Char"/>
    <w:link w:val="269"/>
    <w:qFormat/>
    <w:uiPriority w:val="0"/>
    <w:rPr>
      <w:kern w:val="1"/>
      <w:sz w:val="24"/>
      <w:szCs w:val="24"/>
    </w:rPr>
  </w:style>
  <w:style w:type="paragraph" w:customStyle="1" w:styleId="269">
    <w:name w:val="正文首行缩进 Char Char"/>
    <w:basedOn w:val="18"/>
    <w:link w:val="268"/>
    <w:qFormat/>
    <w:uiPriority w:val="0"/>
    <w:pPr>
      <w:widowControl w:val="0"/>
      <w:suppressAutoHyphens/>
      <w:spacing w:line="360" w:lineRule="auto"/>
      <w:ind w:firstLine="480"/>
    </w:pPr>
    <w:rPr>
      <w:kern w:val="1"/>
      <w:sz w:val="24"/>
    </w:rPr>
  </w:style>
  <w:style w:type="paragraph" w:customStyle="1" w:styleId="27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EEF4B-AB5B-4204-9A6D-A2FA617E22E5}">
  <ds:schemaRefs/>
</ds:datastoreItem>
</file>

<file path=docProps/app.xml><?xml version="1.0" encoding="utf-8"?>
<Properties xmlns="http://schemas.openxmlformats.org/officeDocument/2006/extended-properties" xmlns:vt="http://schemas.openxmlformats.org/officeDocument/2006/docPropsVTypes">
  <Template>Normal</Template>
  <Pages>46</Pages>
  <Words>21375</Words>
  <Characters>22409</Characters>
  <Lines>260</Lines>
  <Paragraphs>73</Paragraphs>
  <TotalTime>6</TotalTime>
  <ScaleCrop>false</ScaleCrop>
  <LinksUpToDate>false</LinksUpToDate>
  <CharactersWithSpaces>29484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2022-07-14T02:05:00Z</dcterms:created>
  <dc:creator>97540</dc:creator>
  <cp:lastModifiedBy>Roue</cp:lastModifiedBy>
  <cp:lastPrinted>2020-11-12T09:47:00Z</cp:lastPrinted>
  <dcterms:modified xsi:type="dcterms:W3CDTF">2023-05-06T01:54:55Z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8910AAE0793642E4A67BB3D09EB20926_13</vt:lpwstr>
  </property>
</Properties>
</file>